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4D4E" w14:textId="77777777" w:rsidR="00A74F60" w:rsidRDefault="00A74F60" w:rsidP="00A74F60">
      <w:pPr>
        <w:pStyle w:val="Title"/>
        <w:rPr>
          <w:b/>
          <w:bCs/>
        </w:rPr>
      </w:pPr>
    </w:p>
    <w:p w14:paraId="2DF3CFA9" w14:textId="07DC7760" w:rsidR="00306A9B" w:rsidRPr="00A74F60" w:rsidRDefault="009A4340" w:rsidP="00A74F60">
      <w:pPr>
        <w:pStyle w:val="Title"/>
        <w:rPr>
          <w:b/>
          <w:bCs/>
        </w:rPr>
      </w:pPr>
      <w:r w:rsidRPr="00A74F60">
        <w:rPr>
          <w:b/>
          <w:bCs/>
        </w:rPr>
        <w:t xml:space="preserve">Transforming Governance </w:t>
      </w:r>
      <w:r w:rsidR="00106EE6" w:rsidRPr="00A74F60">
        <w:rPr>
          <w:b/>
          <w:bCs/>
        </w:rPr>
        <w:t>Q</w:t>
      </w:r>
      <w:r w:rsidR="00A74F60">
        <w:rPr>
          <w:b/>
          <w:bCs/>
        </w:rPr>
        <w:t>+</w:t>
      </w:r>
      <w:r w:rsidR="00106EE6" w:rsidRPr="00A74F60">
        <w:rPr>
          <w:b/>
          <w:bCs/>
        </w:rPr>
        <w:t>A</w:t>
      </w:r>
    </w:p>
    <w:p w14:paraId="60E5BAB9" w14:textId="0C07A7C6" w:rsidR="00306A9B" w:rsidRPr="00A74F60" w:rsidRDefault="00BB198E" w:rsidP="004F3E31">
      <w:pPr>
        <w:rPr>
          <w:rFonts w:ascii="Arial" w:hAnsi="Arial" w:cs="Arial"/>
        </w:rPr>
      </w:pPr>
      <w:r w:rsidRPr="00306A9B">
        <w:rPr>
          <w:rFonts w:ascii="Arial" w:hAnsi="Arial" w:cs="Arial"/>
        </w:rPr>
        <w:t xml:space="preserve">The following document </w:t>
      </w:r>
      <w:r w:rsidR="00106EE6" w:rsidRPr="00306A9B">
        <w:rPr>
          <w:rFonts w:ascii="Arial" w:hAnsi="Arial" w:cs="Arial"/>
        </w:rPr>
        <w:t>collates</w:t>
      </w:r>
      <w:r w:rsidRPr="00306A9B">
        <w:rPr>
          <w:rFonts w:ascii="Arial" w:hAnsi="Arial" w:cs="Arial"/>
        </w:rPr>
        <w:t xml:space="preserve"> a series of</w:t>
      </w:r>
      <w:r w:rsidR="00306A9B" w:rsidRPr="00306A9B">
        <w:rPr>
          <w:rFonts w:ascii="Arial" w:hAnsi="Arial" w:cs="Arial"/>
        </w:rPr>
        <w:t xml:space="preserve"> comments from the Transforming Governance Workshop - </w:t>
      </w:r>
      <w:r w:rsidR="00602393" w:rsidRPr="00306A9B">
        <w:rPr>
          <w:rFonts w:ascii="Arial" w:hAnsi="Arial" w:cs="Arial"/>
        </w:rPr>
        <w:t>Overview of Governance for Charity Trustees</w:t>
      </w:r>
      <w:r w:rsidR="00306A9B" w:rsidRPr="00306A9B">
        <w:rPr>
          <w:rFonts w:ascii="Arial" w:hAnsi="Arial" w:cs="Arial"/>
        </w:rPr>
        <w:t>.</w:t>
      </w:r>
    </w:p>
    <w:p w14:paraId="32C01BFA" w14:textId="252BA32C" w:rsidR="00A74F60" w:rsidRPr="00A74F60" w:rsidRDefault="00306A9B" w:rsidP="00A74F60">
      <w:pPr>
        <w:pStyle w:val="Heading3"/>
        <w:rPr>
          <w:i/>
          <w:iCs/>
          <w:lang w:val="en-US"/>
        </w:rPr>
      </w:pPr>
      <w:r>
        <w:t xml:space="preserve">During the session, participants were asked to engage in a short breakout session, to explore the Seven Deadly </w:t>
      </w:r>
      <w:proofErr w:type="gramStart"/>
      <w:r>
        <w:t>Sins’</w:t>
      </w:r>
      <w:proofErr w:type="gramEnd"/>
      <w:r>
        <w:t xml:space="preserve"> of Boards</w:t>
      </w:r>
      <w:r w:rsidR="006005EE">
        <w:t xml:space="preserve"> </w:t>
      </w:r>
      <w:r w:rsidR="006005EE" w:rsidRPr="00A74F60">
        <w:rPr>
          <w:b w:val="0"/>
          <w:bCs w:val="0"/>
        </w:rPr>
        <w:t>(</w:t>
      </w:r>
      <w:r w:rsidR="006005EE" w:rsidRPr="00A74F60">
        <w:rPr>
          <w:b w:val="0"/>
          <w:bCs w:val="0"/>
          <w:i/>
          <w:iCs/>
          <w:lang w:val="en-US"/>
        </w:rPr>
        <w:t>John Williams, Civil Society, 2016)</w:t>
      </w:r>
      <w:r w:rsidR="00A74F60" w:rsidRPr="00A74F60">
        <w:rPr>
          <w:b w:val="0"/>
          <w:bCs w:val="0"/>
          <w:i/>
          <w:iCs/>
          <w:lang w:val="en-US"/>
        </w:rPr>
        <w:t>:</w:t>
      </w:r>
    </w:p>
    <w:p w14:paraId="269910E9" w14:textId="49DFB2D5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formal evaluation</w:t>
      </w:r>
    </w:p>
    <w:p w14:paraId="17E243A5" w14:textId="3B8A9259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finite terms of office</w:t>
      </w:r>
    </w:p>
    <w:p w14:paraId="53F128C6" w14:textId="53C8093F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enough attention to sustainability and risk</w:t>
      </w:r>
    </w:p>
    <w:p w14:paraId="71AC24D0" w14:textId="05EFE18E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Skimping on recruitment</w:t>
      </w:r>
    </w:p>
    <w:p w14:paraId="21D09E7D" w14:textId="3B81AFAE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engagement between meetings</w:t>
      </w:r>
    </w:p>
    <w:p w14:paraId="4896F6B0" w14:textId="15D92C9C" w:rsidR="00B40177" w:rsidRDefault="00B40177" w:rsidP="00B40177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respect for SMT</w:t>
      </w:r>
    </w:p>
    <w:p w14:paraId="050B25BA" w14:textId="7D95AA45" w:rsidR="00B40177" w:rsidRPr="00A74F60" w:rsidRDefault="00B40177" w:rsidP="00A74F60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investment in induction and training</w:t>
      </w:r>
    </w:p>
    <w:p w14:paraId="06A0DB4D" w14:textId="1A1E2565" w:rsidR="000F3B17" w:rsidRDefault="000F3B17" w:rsidP="00A74F60">
      <w:pPr>
        <w:pStyle w:val="Subtitle"/>
        <w:rPr>
          <w:lang w:val="en-US"/>
        </w:rPr>
      </w:pPr>
      <w:r w:rsidRPr="000F3B17">
        <w:rPr>
          <w:lang w:val="en-US"/>
        </w:rPr>
        <w:t xml:space="preserve">What Deadly Sins have you experienced or witnessed on Trustee Boards? </w:t>
      </w:r>
    </w:p>
    <w:p w14:paraId="688D5715" w14:textId="78694340" w:rsidR="000F3B17" w:rsidRDefault="004B01AE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B01AE">
        <w:rPr>
          <w:rFonts w:ascii="Arial" w:hAnsi="Arial" w:cs="Arial"/>
        </w:rPr>
        <w:t>A lack of regular board self-assessment is a key issue</w:t>
      </w:r>
      <w:r>
        <w:rPr>
          <w:rFonts w:ascii="Arial" w:hAnsi="Arial" w:cs="Arial"/>
        </w:rPr>
        <w:t xml:space="preserve"> for many organisations</w:t>
      </w:r>
      <w:r w:rsidR="00B40177">
        <w:rPr>
          <w:rFonts w:ascii="Arial" w:hAnsi="Arial" w:cs="Arial"/>
        </w:rPr>
        <w:t xml:space="preserve">. </w:t>
      </w:r>
    </w:p>
    <w:p w14:paraId="4AF6C34A" w14:textId="77777777" w:rsidR="00B40177" w:rsidRDefault="00B40177" w:rsidP="00B40177">
      <w:pPr>
        <w:pStyle w:val="ListParagraph"/>
        <w:rPr>
          <w:rFonts w:ascii="Arial" w:hAnsi="Arial" w:cs="Arial"/>
        </w:rPr>
      </w:pPr>
    </w:p>
    <w:p w14:paraId="4CAF7288" w14:textId="555B559D" w:rsidR="00A74F60" w:rsidRDefault="007A668A" w:rsidP="00A74F6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significant challenge for many organisations is in trustee recruitment, induction and training. This can be time-consuming and can require financial investment</w:t>
      </w:r>
      <w:r w:rsidR="00F61436">
        <w:rPr>
          <w:rFonts w:ascii="Arial" w:hAnsi="Arial" w:cs="Arial"/>
        </w:rPr>
        <w:t xml:space="preserve">. </w:t>
      </w:r>
    </w:p>
    <w:p w14:paraId="3E29DCDF" w14:textId="77777777" w:rsidR="00A74F60" w:rsidRPr="00A74F60" w:rsidRDefault="00A74F60" w:rsidP="00A74F60">
      <w:pPr>
        <w:pStyle w:val="ListParagraph"/>
        <w:rPr>
          <w:rFonts w:ascii="Arial" w:hAnsi="Arial" w:cs="Arial"/>
        </w:rPr>
      </w:pPr>
    </w:p>
    <w:p w14:paraId="2DAE0DCC" w14:textId="7BB37C2E" w:rsidR="00E44C09" w:rsidRDefault="00E44C09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governance requires a commitment of time, </w:t>
      </w:r>
      <w:proofErr w:type="gramStart"/>
      <w:r>
        <w:rPr>
          <w:rFonts w:ascii="Arial" w:hAnsi="Arial" w:cs="Arial"/>
        </w:rPr>
        <w:t>energy</w:t>
      </w:r>
      <w:proofErr w:type="gramEnd"/>
      <w:r>
        <w:rPr>
          <w:rFonts w:ascii="Arial" w:hAnsi="Arial" w:cs="Arial"/>
        </w:rPr>
        <w:t xml:space="preserve"> and financial resource, which can be challenging for many organisations. </w:t>
      </w:r>
    </w:p>
    <w:p w14:paraId="0A77EE4A" w14:textId="77777777" w:rsidR="00B40177" w:rsidRDefault="00B40177" w:rsidP="00B40177">
      <w:pPr>
        <w:pStyle w:val="ListParagraph"/>
        <w:rPr>
          <w:rFonts w:ascii="Arial" w:hAnsi="Arial" w:cs="Arial"/>
        </w:rPr>
      </w:pPr>
    </w:p>
    <w:p w14:paraId="1BB1121E" w14:textId="13285048" w:rsidR="00F61436" w:rsidRPr="00A74F60" w:rsidRDefault="00621A23" w:rsidP="00F614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cost of recruitment can be a real challenge for small organisations that lack personal networks </w:t>
      </w:r>
      <w:r w:rsidR="00080E27">
        <w:rPr>
          <w:rFonts w:ascii="Arial" w:hAnsi="Arial" w:cs="Arial"/>
        </w:rPr>
        <w:t xml:space="preserve">or lack the funding to recruit effectively. </w:t>
      </w:r>
    </w:p>
    <w:p w14:paraId="0AF46C9B" w14:textId="77777777" w:rsidR="00F61436" w:rsidRDefault="00F61436" w:rsidP="00A74F60">
      <w:pPr>
        <w:pStyle w:val="Subtitle"/>
        <w:rPr>
          <w:lang w:val="en-US"/>
        </w:rPr>
      </w:pPr>
      <w:r w:rsidRPr="000F3B17">
        <w:rPr>
          <w:lang w:val="en-US"/>
        </w:rPr>
        <w:t>What could be improved or implemented to help?</w:t>
      </w:r>
    </w:p>
    <w:p w14:paraId="6594B539" w14:textId="0E85B2AF" w:rsidR="00F61436" w:rsidRDefault="00F61436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 w:rsidRPr="00FF4868">
        <w:rPr>
          <w:rFonts w:ascii="Arial" w:hAnsi="Arial" w:cs="Arial"/>
          <w:lang w:val="en-US"/>
        </w:rPr>
        <w:t>A clear</w:t>
      </w:r>
      <w:r w:rsidR="005C4758">
        <w:rPr>
          <w:rFonts w:ascii="Arial" w:hAnsi="Arial" w:cs="Arial"/>
          <w:lang w:val="en-US"/>
        </w:rPr>
        <w:t xml:space="preserve"> and accessible</w:t>
      </w:r>
      <w:r w:rsidRPr="00FF4868">
        <w:rPr>
          <w:rFonts w:ascii="Arial" w:hAnsi="Arial" w:cs="Arial"/>
          <w:lang w:val="en-US"/>
        </w:rPr>
        <w:t xml:space="preserve"> guide on how to conduct a board </w:t>
      </w:r>
      <w:r w:rsidR="00FF4868" w:rsidRPr="00FF4868">
        <w:rPr>
          <w:rFonts w:ascii="Arial" w:hAnsi="Arial" w:cs="Arial"/>
          <w:lang w:val="en-US"/>
        </w:rPr>
        <w:t>assessment would be</w:t>
      </w:r>
      <w:r w:rsidR="00C71DD3">
        <w:rPr>
          <w:rFonts w:ascii="Arial" w:hAnsi="Arial" w:cs="Arial"/>
          <w:lang w:val="en-US"/>
        </w:rPr>
        <w:t xml:space="preserve"> helpful</w:t>
      </w:r>
      <w:r w:rsidR="00FF4868" w:rsidRPr="00FF4868">
        <w:rPr>
          <w:rFonts w:ascii="Arial" w:hAnsi="Arial" w:cs="Arial"/>
          <w:lang w:val="en-US"/>
        </w:rPr>
        <w:t>. Some examples of such audits can be found here:</w:t>
      </w:r>
    </w:p>
    <w:p w14:paraId="51743EA8" w14:textId="1DE347EE" w:rsidR="00A74667" w:rsidRDefault="00A74667" w:rsidP="00A74667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to complete a skills audit – </w:t>
      </w:r>
      <w:hyperlink r:id="rId10" w:history="1">
        <w:r w:rsidRPr="00A74667">
          <w:rPr>
            <w:rStyle w:val="Hyperlink"/>
            <w:rFonts w:ascii="Arial" w:hAnsi="Arial" w:cs="Arial"/>
            <w:lang w:val="en-US"/>
          </w:rPr>
          <w:t>Reach Volunteering</w:t>
        </w:r>
      </w:hyperlink>
    </w:p>
    <w:p w14:paraId="71140477" w14:textId="2ECFB4C2" w:rsidR="00915AE7" w:rsidRDefault="00915AE7" w:rsidP="00A74667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Trustee skills audit - </w:t>
      </w:r>
      <w:hyperlink r:id="rId11" w:history="1">
        <w:r w:rsidRPr="00915AE7">
          <w:rPr>
            <w:rStyle w:val="Hyperlink"/>
            <w:rFonts w:ascii="Arial" w:hAnsi="Arial" w:cs="Arial"/>
            <w:lang w:val="en-US"/>
          </w:rPr>
          <w:t>NCVO</w:t>
        </w:r>
      </w:hyperlink>
    </w:p>
    <w:p w14:paraId="7BF97EED" w14:textId="77777777" w:rsidR="00080E27" w:rsidRDefault="00080E27" w:rsidP="00080E27">
      <w:pPr>
        <w:pStyle w:val="ListParagraph"/>
        <w:rPr>
          <w:rFonts w:ascii="Arial" w:hAnsi="Arial" w:cs="Arial"/>
          <w:lang w:val="en-US"/>
        </w:rPr>
      </w:pPr>
    </w:p>
    <w:p w14:paraId="4B73B1F6" w14:textId="12B31582" w:rsidR="00FF4868" w:rsidRDefault="00FF4868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Coming together as a </w:t>
      </w:r>
      <w:r w:rsidR="005C4758">
        <w:rPr>
          <w:rFonts w:ascii="Arial" w:hAnsi="Arial" w:cs="Arial"/>
          <w:lang w:val="en-US"/>
        </w:rPr>
        <w:t xml:space="preserve">consortium (for example with other National Portfolio Organisations) can </w:t>
      </w:r>
      <w:r w:rsidR="00C46297">
        <w:rPr>
          <w:rFonts w:ascii="Arial" w:hAnsi="Arial" w:cs="Arial"/>
          <w:lang w:val="en-US"/>
        </w:rPr>
        <w:t>enable organisations to pool resources together</w:t>
      </w:r>
      <w:r w:rsidR="00860027">
        <w:rPr>
          <w:rFonts w:ascii="Arial" w:hAnsi="Arial" w:cs="Arial"/>
          <w:lang w:val="en-US"/>
        </w:rPr>
        <w:t xml:space="preserve">. An example of where this has been successful was in Plymouth, where organisations came together (supported by Plymouth Culture) </w:t>
      </w:r>
      <w:r w:rsidR="005F4874">
        <w:rPr>
          <w:rFonts w:ascii="Arial" w:hAnsi="Arial" w:cs="Arial"/>
          <w:lang w:val="en-US"/>
        </w:rPr>
        <w:t xml:space="preserve">to create a joint recruitment campaign. </w:t>
      </w:r>
    </w:p>
    <w:p w14:paraId="4E9826BC" w14:textId="77777777" w:rsidR="00B40177" w:rsidRDefault="00B40177" w:rsidP="00B40177">
      <w:pPr>
        <w:pStyle w:val="ListParagraph"/>
        <w:rPr>
          <w:rFonts w:ascii="Arial" w:hAnsi="Arial" w:cs="Arial"/>
          <w:lang w:val="en-US"/>
        </w:rPr>
      </w:pPr>
    </w:p>
    <w:p w14:paraId="71672B25" w14:textId="4FBF5A5D" w:rsidR="00B40177" w:rsidRDefault="00B45699" w:rsidP="00B40177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ensure that organisations have the time, </w:t>
      </w:r>
      <w:r w:rsidR="00723B3C">
        <w:rPr>
          <w:rFonts w:ascii="Arial" w:hAnsi="Arial" w:cs="Arial"/>
          <w:lang w:val="en-US"/>
        </w:rPr>
        <w:t>energy,</w:t>
      </w:r>
      <w:r>
        <w:rPr>
          <w:rFonts w:ascii="Arial" w:hAnsi="Arial" w:cs="Arial"/>
          <w:lang w:val="en-US"/>
        </w:rPr>
        <w:t xml:space="preserve"> and financial resource to </w:t>
      </w:r>
      <w:r w:rsidR="00040152">
        <w:rPr>
          <w:rFonts w:ascii="Arial" w:hAnsi="Arial" w:cs="Arial"/>
          <w:lang w:val="en-US"/>
        </w:rPr>
        <w:t>maintain</w:t>
      </w:r>
      <w:r>
        <w:rPr>
          <w:rFonts w:ascii="Arial" w:hAnsi="Arial" w:cs="Arial"/>
          <w:lang w:val="en-US"/>
        </w:rPr>
        <w:t xml:space="preserve"> good governance, the cultural sector should ensure that this is built into </w:t>
      </w:r>
      <w:r w:rsidR="00C71DD3">
        <w:rPr>
          <w:rFonts w:ascii="Arial" w:hAnsi="Arial" w:cs="Arial"/>
          <w:lang w:val="en-US"/>
        </w:rPr>
        <w:t>budgets</w:t>
      </w:r>
      <w:r>
        <w:rPr>
          <w:rFonts w:ascii="Arial" w:hAnsi="Arial" w:cs="Arial"/>
          <w:lang w:val="en-US"/>
        </w:rPr>
        <w:t xml:space="preserve">, </w:t>
      </w:r>
      <w:r w:rsidR="00040152">
        <w:rPr>
          <w:rFonts w:ascii="Arial" w:hAnsi="Arial" w:cs="Arial"/>
          <w:lang w:val="en-US"/>
        </w:rPr>
        <w:t xml:space="preserve">and equally, funders should provide access to organisational development funding to support good governance. </w:t>
      </w:r>
    </w:p>
    <w:p w14:paraId="794559B0" w14:textId="77777777" w:rsidR="00A74F60" w:rsidRPr="00A74F60" w:rsidRDefault="00A74F60" w:rsidP="00A74F60">
      <w:pPr>
        <w:pStyle w:val="ListParagraph"/>
        <w:rPr>
          <w:rFonts w:ascii="Arial" w:hAnsi="Arial" w:cs="Arial"/>
          <w:lang w:val="en-US"/>
        </w:rPr>
      </w:pPr>
    </w:p>
    <w:p w14:paraId="1B2377A7" w14:textId="77777777" w:rsidR="009D5FA9" w:rsidRDefault="00080E27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Free and low-cost resources should be provided to small organisations to support </w:t>
      </w:r>
      <w:r w:rsidR="009D5FA9">
        <w:rPr>
          <w:rFonts w:ascii="Arial" w:hAnsi="Arial" w:cs="Arial"/>
          <w:lang w:val="en-US"/>
        </w:rPr>
        <w:t xml:space="preserve">recruitment and board diversity. Some examples include: </w:t>
      </w:r>
    </w:p>
    <w:p w14:paraId="51A38C68" w14:textId="7899700D" w:rsidR="00080E27" w:rsidRDefault="00000000" w:rsidP="009D5FA9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2" w:history="1">
        <w:r w:rsidR="009D5FA9" w:rsidRPr="009D5FA9">
          <w:rPr>
            <w:rStyle w:val="Hyperlink"/>
            <w:rFonts w:ascii="Arial" w:hAnsi="Arial" w:cs="Arial"/>
            <w:lang w:val="en-US"/>
          </w:rPr>
          <w:t>Reach Volunteering</w:t>
        </w:r>
      </w:hyperlink>
      <w:r w:rsidR="009D5FA9">
        <w:rPr>
          <w:rFonts w:ascii="Arial" w:hAnsi="Arial" w:cs="Arial"/>
          <w:lang w:val="en-US"/>
        </w:rPr>
        <w:t>, which enables charities to advertise vacancies for free</w:t>
      </w:r>
      <w:r w:rsidR="004E5A47">
        <w:rPr>
          <w:rFonts w:ascii="Arial" w:hAnsi="Arial" w:cs="Arial"/>
          <w:lang w:val="en-US"/>
        </w:rPr>
        <w:t xml:space="preserve">. </w:t>
      </w:r>
    </w:p>
    <w:p w14:paraId="4460027D" w14:textId="629B1C7D" w:rsidR="009D5FA9" w:rsidRPr="00080E27" w:rsidRDefault="00000000" w:rsidP="009D5FA9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3" w:history="1">
        <w:r w:rsidR="009D5FA9" w:rsidRPr="004E5A47">
          <w:rPr>
            <w:rStyle w:val="Hyperlink"/>
            <w:rFonts w:ascii="Arial" w:hAnsi="Arial" w:cs="Arial"/>
            <w:lang w:val="en-US"/>
          </w:rPr>
          <w:t>The Trustee Leadership Programme</w:t>
        </w:r>
      </w:hyperlink>
      <w:r w:rsidR="009D5FA9">
        <w:rPr>
          <w:rFonts w:ascii="Arial" w:hAnsi="Arial" w:cs="Arial"/>
          <w:lang w:val="en-US"/>
        </w:rPr>
        <w:t xml:space="preserve">, which </w:t>
      </w:r>
      <w:r w:rsidR="004E5A47">
        <w:rPr>
          <w:rFonts w:ascii="Arial" w:hAnsi="Arial" w:cs="Arial"/>
          <w:lang w:val="en-US"/>
        </w:rPr>
        <w:t xml:space="preserve">showcases new vacancies in a monthly newsletter for free. </w:t>
      </w:r>
    </w:p>
    <w:p w14:paraId="5D09D274" w14:textId="77777777" w:rsidR="00306A9B" w:rsidRDefault="00306A9B" w:rsidP="004F3E31">
      <w:pPr>
        <w:rPr>
          <w:rFonts w:ascii="Arial" w:hAnsi="Arial" w:cs="Arial"/>
        </w:rPr>
      </w:pPr>
    </w:p>
    <w:p w14:paraId="6C5983BC" w14:textId="6E378045" w:rsidR="00306A9B" w:rsidRPr="00306A9B" w:rsidRDefault="00306A9B" w:rsidP="004F3E31">
      <w:pPr>
        <w:rPr>
          <w:rFonts w:ascii="Arial" w:hAnsi="Arial" w:cs="Arial"/>
        </w:rPr>
      </w:pPr>
    </w:p>
    <w:p w14:paraId="53DDEC2C" w14:textId="780C2D95" w:rsidR="00FF6167" w:rsidRPr="004C44CB" w:rsidRDefault="00FF6167" w:rsidP="001D12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F6167" w:rsidRPr="004C44CB" w:rsidSect="009A4340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A61A" w14:textId="77777777" w:rsidR="00263189" w:rsidRDefault="00263189" w:rsidP="009A4340">
      <w:r>
        <w:separator/>
      </w:r>
    </w:p>
  </w:endnote>
  <w:endnote w:type="continuationSeparator" w:id="0">
    <w:p w14:paraId="2DCBBFC7" w14:textId="77777777" w:rsidR="00263189" w:rsidRDefault="00263189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F80" w14:textId="77777777" w:rsidR="00263189" w:rsidRDefault="00263189" w:rsidP="009A4340">
      <w:r>
        <w:separator/>
      </w:r>
    </w:p>
  </w:footnote>
  <w:footnote w:type="continuationSeparator" w:id="0">
    <w:p w14:paraId="36103B75" w14:textId="77777777" w:rsidR="00263189" w:rsidRDefault="00263189" w:rsidP="009A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C98" w14:textId="788A96A3" w:rsidR="009A4340" w:rsidRDefault="00296E21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633E1ACC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5A3D59E2" wp14:editId="28EC6EC5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643E2"/>
    <w:multiLevelType w:val="hybridMultilevel"/>
    <w:tmpl w:val="F68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57F"/>
    <w:multiLevelType w:val="hybridMultilevel"/>
    <w:tmpl w:val="CCDA6C18"/>
    <w:lvl w:ilvl="0" w:tplc="59FC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D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A5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D1D41"/>
    <w:multiLevelType w:val="hybridMultilevel"/>
    <w:tmpl w:val="0BA4DE14"/>
    <w:lvl w:ilvl="0" w:tplc="5F88812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6DB2"/>
    <w:multiLevelType w:val="hybridMultilevel"/>
    <w:tmpl w:val="153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89F"/>
    <w:multiLevelType w:val="hybridMultilevel"/>
    <w:tmpl w:val="F0C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5038"/>
    <w:multiLevelType w:val="hybridMultilevel"/>
    <w:tmpl w:val="7332A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F5BA9"/>
    <w:multiLevelType w:val="hybridMultilevel"/>
    <w:tmpl w:val="986A958C"/>
    <w:lvl w:ilvl="0" w:tplc="ABF0A7E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5205">
    <w:abstractNumId w:val="14"/>
  </w:num>
  <w:num w:numId="2" w16cid:durableId="391468303">
    <w:abstractNumId w:val="18"/>
  </w:num>
  <w:num w:numId="3" w16cid:durableId="1553423180">
    <w:abstractNumId w:val="4"/>
  </w:num>
  <w:num w:numId="4" w16cid:durableId="1981424417">
    <w:abstractNumId w:val="0"/>
  </w:num>
  <w:num w:numId="5" w16cid:durableId="114033186">
    <w:abstractNumId w:val="15"/>
  </w:num>
  <w:num w:numId="6" w16cid:durableId="409229602">
    <w:abstractNumId w:val="11"/>
  </w:num>
  <w:num w:numId="7" w16cid:durableId="599725963">
    <w:abstractNumId w:val="10"/>
  </w:num>
  <w:num w:numId="8" w16cid:durableId="613943950">
    <w:abstractNumId w:val="9"/>
  </w:num>
  <w:num w:numId="9" w16cid:durableId="1374580478">
    <w:abstractNumId w:val="3"/>
  </w:num>
  <w:num w:numId="10" w16cid:durableId="2124957045">
    <w:abstractNumId w:val="17"/>
  </w:num>
  <w:num w:numId="11" w16cid:durableId="1011685256">
    <w:abstractNumId w:val="13"/>
  </w:num>
  <w:num w:numId="12" w16cid:durableId="1583251252">
    <w:abstractNumId w:val="1"/>
  </w:num>
  <w:num w:numId="13" w16cid:durableId="464542095">
    <w:abstractNumId w:val="6"/>
  </w:num>
  <w:num w:numId="14" w16cid:durableId="1223448533">
    <w:abstractNumId w:val="8"/>
  </w:num>
  <w:num w:numId="15" w16cid:durableId="195510391">
    <w:abstractNumId w:val="7"/>
  </w:num>
  <w:num w:numId="16" w16cid:durableId="1803309198">
    <w:abstractNumId w:val="12"/>
  </w:num>
  <w:num w:numId="17" w16cid:durableId="340670764">
    <w:abstractNumId w:val="2"/>
  </w:num>
  <w:num w:numId="18" w16cid:durableId="1605530800">
    <w:abstractNumId w:val="16"/>
  </w:num>
  <w:num w:numId="19" w16cid:durableId="103022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70CC"/>
    <w:rsid w:val="00024C18"/>
    <w:rsid w:val="00040152"/>
    <w:rsid w:val="000536C9"/>
    <w:rsid w:val="000771B6"/>
    <w:rsid w:val="00080E27"/>
    <w:rsid w:val="000F18EB"/>
    <w:rsid w:val="000F3B17"/>
    <w:rsid w:val="00106EE6"/>
    <w:rsid w:val="00110D42"/>
    <w:rsid w:val="00125C9A"/>
    <w:rsid w:val="00176D02"/>
    <w:rsid w:val="00182E90"/>
    <w:rsid w:val="0018525E"/>
    <w:rsid w:val="001A64AF"/>
    <w:rsid w:val="001D1293"/>
    <w:rsid w:val="001F7ACC"/>
    <w:rsid w:val="0020218A"/>
    <w:rsid w:val="00244870"/>
    <w:rsid w:val="00263189"/>
    <w:rsid w:val="002676A3"/>
    <w:rsid w:val="00296E21"/>
    <w:rsid w:val="002D7303"/>
    <w:rsid w:val="00306A9B"/>
    <w:rsid w:val="003639AA"/>
    <w:rsid w:val="003B04A2"/>
    <w:rsid w:val="003D6625"/>
    <w:rsid w:val="004110C1"/>
    <w:rsid w:val="00422824"/>
    <w:rsid w:val="004B01AE"/>
    <w:rsid w:val="004B3D45"/>
    <w:rsid w:val="004C44CB"/>
    <w:rsid w:val="004E5A47"/>
    <w:rsid w:val="004F3E31"/>
    <w:rsid w:val="004F789E"/>
    <w:rsid w:val="005155E6"/>
    <w:rsid w:val="00516F23"/>
    <w:rsid w:val="00517F13"/>
    <w:rsid w:val="00534696"/>
    <w:rsid w:val="005561B9"/>
    <w:rsid w:val="00565279"/>
    <w:rsid w:val="00585528"/>
    <w:rsid w:val="005C4758"/>
    <w:rsid w:val="005E7DA8"/>
    <w:rsid w:val="005F177F"/>
    <w:rsid w:val="005F4874"/>
    <w:rsid w:val="006005EE"/>
    <w:rsid w:val="00602393"/>
    <w:rsid w:val="00621A23"/>
    <w:rsid w:val="006260B8"/>
    <w:rsid w:val="006D59E0"/>
    <w:rsid w:val="006E28D8"/>
    <w:rsid w:val="006E49CD"/>
    <w:rsid w:val="00723B3C"/>
    <w:rsid w:val="00724D67"/>
    <w:rsid w:val="007777BB"/>
    <w:rsid w:val="007A668A"/>
    <w:rsid w:val="008434DF"/>
    <w:rsid w:val="00860027"/>
    <w:rsid w:val="008777DF"/>
    <w:rsid w:val="00881154"/>
    <w:rsid w:val="008E3153"/>
    <w:rsid w:val="00915AE7"/>
    <w:rsid w:val="00927C9A"/>
    <w:rsid w:val="009578A2"/>
    <w:rsid w:val="0096586B"/>
    <w:rsid w:val="00993B0E"/>
    <w:rsid w:val="00997137"/>
    <w:rsid w:val="009A4340"/>
    <w:rsid w:val="009B5A0B"/>
    <w:rsid w:val="009D39A8"/>
    <w:rsid w:val="009D5FA9"/>
    <w:rsid w:val="009F33E7"/>
    <w:rsid w:val="00A37D72"/>
    <w:rsid w:val="00A74667"/>
    <w:rsid w:val="00A74F60"/>
    <w:rsid w:val="00A83964"/>
    <w:rsid w:val="00A844BD"/>
    <w:rsid w:val="00A94987"/>
    <w:rsid w:val="00AA4208"/>
    <w:rsid w:val="00AC2FDD"/>
    <w:rsid w:val="00AE5284"/>
    <w:rsid w:val="00AF0C8D"/>
    <w:rsid w:val="00B40177"/>
    <w:rsid w:val="00B45699"/>
    <w:rsid w:val="00B934CF"/>
    <w:rsid w:val="00BB0A96"/>
    <w:rsid w:val="00BB198E"/>
    <w:rsid w:val="00BB459F"/>
    <w:rsid w:val="00BB7C43"/>
    <w:rsid w:val="00BC1DF8"/>
    <w:rsid w:val="00BC69E1"/>
    <w:rsid w:val="00BD01AA"/>
    <w:rsid w:val="00BD1BB0"/>
    <w:rsid w:val="00BF69F7"/>
    <w:rsid w:val="00C46297"/>
    <w:rsid w:val="00C71DD3"/>
    <w:rsid w:val="00CE6D4B"/>
    <w:rsid w:val="00CF50F9"/>
    <w:rsid w:val="00D01795"/>
    <w:rsid w:val="00D045AA"/>
    <w:rsid w:val="00D24FB1"/>
    <w:rsid w:val="00D35D6E"/>
    <w:rsid w:val="00DF40B8"/>
    <w:rsid w:val="00E07824"/>
    <w:rsid w:val="00E2607C"/>
    <w:rsid w:val="00E44C09"/>
    <w:rsid w:val="00E6558A"/>
    <w:rsid w:val="00E720E8"/>
    <w:rsid w:val="00EC1BD9"/>
    <w:rsid w:val="00EE2ABB"/>
    <w:rsid w:val="00F22A0B"/>
    <w:rsid w:val="00F552CC"/>
    <w:rsid w:val="00F61436"/>
    <w:rsid w:val="00F80EBB"/>
    <w:rsid w:val="00F82BC4"/>
    <w:rsid w:val="00F968D0"/>
    <w:rsid w:val="00FE453B"/>
    <w:rsid w:val="00FF4868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60"/>
  </w:style>
  <w:style w:type="paragraph" w:styleId="Heading1">
    <w:name w:val="heading 1"/>
    <w:basedOn w:val="Normal"/>
    <w:next w:val="Normal"/>
    <w:link w:val="Heading1Char"/>
    <w:uiPriority w:val="9"/>
    <w:qFormat/>
    <w:rsid w:val="00A74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7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A74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F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A74F60"/>
    <w:rPr>
      <w:i/>
      <w:iCs/>
    </w:rPr>
  </w:style>
  <w:style w:type="character" w:styleId="Strong">
    <w:name w:val="Strong"/>
    <w:basedOn w:val="DefaultParagraphFont"/>
    <w:uiPriority w:val="22"/>
    <w:qFormat/>
    <w:rsid w:val="00A74F6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D01AA"/>
  </w:style>
  <w:style w:type="character" w:customStyle="1" w:styleId="FootnoteTextChar">
    <w:name w:val="Footnote Text Char"/>
    <w:basedOn w:val="DefaultParagraphFont"/>
    <w:link w:val="FootnoteText"/>
    <w:uiPriority w:val="99"/>
    <w:rsid w:val="00BD01AA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D01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61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4F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F6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F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F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F6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F6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F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F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F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4F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4F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F6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F6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74F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4F6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74F6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4F6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4F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F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use4.co.uk/trustee-leadership-program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achvolunteering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vo.org.uk/help-and-guidance/governance/board-basics/tools-and-guidance/trustee-skills-aud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achvolunteering.org.uk/trustee-recruitment-cycle/reflect/how-complete-skills-au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Props1.xml><?xml version="1.0" encoding="utf-8"?>
<ds:datastoreItem xmlns:ds="http://schemas.openxmlformats.org/officeDocument/2006/customXml" ds:itemID="{642D9A56-6C98-4E70-8697-4AAD9240536A}"/>
</file>

<file path=customXml/itemProps2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Microsoft Office User</cp:lastModifiedBy>
  <cp:revision>4</cp:revision>
  <dcterms:created xsi:type="dcterms:W3CDTF">2023-11-17T16:04:00Z</dcterms:created>
  <dcterms:modified xsi:type="dcterms:W3CDTF">2023-11-22T10:04:00Z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