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D200" w14:textId="073DEEEC" w:rsidR="00883BA6" w:rsidRPr="004A1045" w:rsidRDefault="00DA43C7" w:rsidP="004A1045">
      <w:pPr>
        <w:spacing w:line="276" w:lineRule="auto"/>
        <w:jc w:val="center"/>
        <w:rPr>
          <w:rFonts w:cs="Arial"/>
          <w:b/>
          <w:bCs/>
          <w:sz w:val="20"/>
        </w:rPr>
      </w:pPr>
      <w:r w:rsidRPr="004A1045">
        <w:rPr>
          <w:rFonts w:cs="Arial"/>
          <w:b/>
          <w:bCs/>
          <w:sz w:val="20"/>
        </w:rPr>
        <w:t>The Principles of Creative People and Places</w:t>
      </w:r>
    </w:p>
    <w:p w14:paraId="0AD373D4" w14:textId="77777777" w:rsidR="00DA43C7" w:rsidRPr="004A1045" w:rsidRDefault="00DA43C7" w:rsidP="004A1045">
      <w:pPr>
        <w:spacing w:line="276" w:lineRule="auto"/>
        <w:jc w:val="center"/>
        <w:rPr>
          <w:rFonts w:cs="Arial"/>
          <w:b/>
          <w:bCs/>
          <w:sz w:val="20"/>
        </w:rPr>
      </w:pPr>
    </w:p>
    <w:p w14:paraId="19AF55F5" w14:textId="4C8642C8" w:rsidR="00DA43C7" w:rsidRPr="004A1045" w:rsidRDefault="00DA43C7" w:rsidP="6B7601E7">
      <w:pPr>
        <w:spacing w:line="276" w:lineRule="auto"/>
        <w:rPr>
          <w:rFonts w:cs="Arial"/>
          <w:sz w:val="20"/>
        </w:rPr>
      </w:pPr>
      <w:r w:rsidRPr="6B7601E7">
        <w:rPr>
          <w:rFonts w:cs="Arial"/>
          <w:sz w:val="20"/>
        </w:rPr>
        <w:t xml:space="preserve">This document is designed to support potential applicants to the </w:t>
      </w:r>
      <w:r w:rsidR="00804704">
        <w:rPr>
          <w:rFonts w:cs="Arial"/>
          <w:sz w:val="20"/>
        </w:rPr>
        <w:t>20</w:t>
      </w:r>
      <w:r w:rsidRPr="6B7601E7">
        <w:rPr>
          <w:rFonts w:cs="Arial"/>
          <w:sz w:val="20"/>
        </w:rPr>
        <w:t>26-29 Creative People and Places National Portfolio Programme. Its purpose is to set out the</w:t>
      </w:r>
      <w:r w:rsidR="00BA0F17">
        <w:rPr>
          <w:rFonts w:cs="Arial"/>
          <w:sz w:val="20"/>
        </w:rPr>
        <w:t xml:space="preserve"> broad</w:t>
      </w:r>
      <w:r w:rsidRPr="6B7601E7">
        <w:rPr>
          <w:rFonts w:cs="Arial"/>
          <w:sz w:val="20"/>
        </w:rPr>
        <w:t xml:space="preserve"> principles of the programme to support developmental conversations and partnership development. </w:t>
      </w:r>
      <w:r w:rsidRPr="6B7601E7">
        <w:rPr>
          <w:rFonts w:cs="Arial"/>
          <w:i/>
          <w:iCs/>
          <w:sz w:val="20"/>
        </w:rPr>
        <w:t xml:space="preserve">It does not replace the guidance for the </w:t>
      </w:r>
      <w:r w:rsidR="00BA0F17">
        <w:rPr>
          <w:rFonts w:cs="Arial"/>
          <w:i/>
          <w:iCs/>
          <w:sz w:val="20"/>
        </w:rPr>
        <w:t>20</w:t>
      </w:r>
      <w:r w:rsidRPr="6B7601E7">
        <w:rPr>
          <w:rFonts w:cs="Arial"/>
          <w:i/>
          <w:iCs/>
          <w:sz w:val="20"/>
        </w:rPr>
        <w:t>26-29 programme which will be published at a later date</w:t>
      </w:r>
      <w:r w:rsidRPr="6B7601E7">
        <w:rPr>
          <w:rFonts w:cs="Arial"/>
          <w:sz w:val="20"/>
        </w:rPr>
        <w:t xml:space="preserve">. It is simply intended as a useful tool that potential applicants may choose to use to support their thinking in the forthcoming year. </w:t>
      </w:r>
      <w:r w:rsidR="0006480F" w:rsidRPr="6B7601E7">
        <w:rPr>
          <w:rFonts w:cs="Arial"/>
          <w:sz w:val="20"/>
        </w:rPr>
        <w:t>Its</w:t>
      </w:r>
      <w:r w:rsidRPr="6B7601E7">
        <w:rPr>
          <w:rFonts w:cs="Arial"/>
          <w:sz w:val="20"/>
        </w:rPr>
        <w:t xml:space="preserve"> use is not mandatory.</w:t>
      </w:r>
      <w:r w:rsidR="00375C71" w:rsidRPr="6B7601E7">
        <w:rPr>
          <w:rFonts w:cs="Arial"/>
          <w:sz w:val="20"/>
        </w:rPr>
        <w:t xml:space="preserve"> All of this should be read in the context of our 10 year Strategy </w:t>
      </w:r>
      <w:hyperlink r:id="rId7">
        <w:r w:rsidR="00375C71" w:rsidRPr="6B7601E7">
          <w:rPr>
            <w:rStyle w:val="Hyperlink"/>
            <w:rFonts w:cs="Arial"/>
            <w:sz w:val="20"/>
          </w:rPr>
          <w:t>Let’s Create</w:t>
        </w:r>
      </w:hyperlink>
      <w:r w:rsidR="00375C71" w:rsidRPr="6B7601E7">
        <w:rPr>
          <w:rFonts w:cs="Arial"/>
          <w:sz w:val="20"/>
        </w:rPr>
        <w:t>.</w:t>
      </w:r>
    </w:p>
    <w:p w14:paraId="247724CD" w14:textId="71E2E9E0" w:rsidR="6B7601E7" w:rsidRDefault="6B7601E7" w:rsidP="6B7601E7">
      <w:pPr>
        <w:spacing w:line="276" w:lineRule="auto"/>
        <w:rPr>
          <w:rFonts w:cs="Arial"/>
          <w:sz w:val="20"/>
        </w:rPr>
      </w:pPr>
    </w:p>
    <w:p w14:paraId="362D487B" w14:textId="46AA3F6A" w:rsidR="13515E48" w:rsidRDefault="13515E48" w:rsidP="6B7601E7">
      <w:pPr>
        <w:spacing w:line="276" w:lineRule="auto"/>
        <w:rPr>
          <w:rFonts w:cs="Arial"/>
          <w:color w:val="000000" w:themeColor="text1"/>
          <w:sz w:val="20"/>
          <w:lang w:eastAsia="en-GB"/>
        </w:rPr>
      </w:pPr>
      <w:r w:rsidRPr="6B7601E7">
        <w:rPr>
          <w:rFonts w:cs="Arial"/>
          <w:sz w:val="20"/>
        </w:rPr>
        <w:t>Information below is based on the current programme. New guidance will be issued when the 26-29 programme goes live. Although unlikely, we reserve the right to change the terms as set out here</w:t>
      </w:r>
    </w:p>
    <w:p w14:paraId="459F284C" w14:textId="43447EF4" w:rsidR="6B7601E7" w:rsidRDefault="6B7601E7" w:rsidP="6B7601E7">
      <w:pPr>
        <w:spacing w:line="276" w:lineRule="auto"/>
        <w:rPr>
          <w:rFonts w:cs="Arial"/>
          <w:sz w:val="20"/>
        </w:rPr>
      </w:pPr>
    </w:p>
    <w:p w14:paraId="5C613B03" w14:textId="77777777" w:rsidR="00DA43C7" w:rsidRPr="004A1045" w:rsidRDefault="00DA43C7" w:rsidP="004A1045">
      <w:pPr>
        <w:spacing w:line="276" w:lineRule="auto"/>
        <w:rPr>
          <w:rFonts w:cs="Arial"/>
          <w:sz w:val="20"/>
        </w:rPr>
      </w:pPr>
    </w:p>
    <w:p w14:paraId="7B4D08BE" w14:textId="4970B869" w:rsidR="0006480F" w:rsidRPr="004A1045" w:rsidRDefault="00DA43C7" w:rsidP="004A1045">
      <w:pPr>
        <w:spacing w:line="276" w:lineRule="auto"/>
        <w:rPr>
          <w:rFonts w:cs="Arial"/>
          <w:b/>
          <w:bCs/>
          <w:sz w:val="20"/>
        </w:rPr>
      </w:pPr>
      <w:r w:rsidRPr="004A1045">
        <w:rPr>
          <w:rFonts w:cs="Arial"/>
          <w:b/>
          <w:bCs/>
          <w:sz w:val="20"/>
        </w:rPr>
        <w:t>What is Creative People and Places about?</w:t>
      </w:r>
    </w:p>
    <w:p w14:paraId="0333D0F2" w14:textId="2FBEB78C" w:rsidR="0006480F" w:rsidRPr="004A1045" w:rsidRDefault="0006480F" w:rsidP="004A1045">
      <w:pPr>
        <w:spacing w:line="276" w:lineRule="auto"/>
        <w:rPr>
          <w:rFonts w:cs="Arial"/>
          <w:sz w:val="20"/>
        </w:rPr>
      </w:pPr>
      <w:r w:rsidRPr="004A1045">
        <w:rPr>
          <w:rFonts w:cs="Arial"/>
          <w:sz w:val="20"/>
        </w:rPr>
        <w:t xml:space="preserve">The vision of Creative People and Places is to support the public in shaping local arts and culture, increasing attendance and participation in excellent cultural experiences. The programme aims to foster long-term collaborations among communities, arts organisations, museums, libraries, and voluntary sectors, encouraging innovative cultural programmes that genuinely engage people and involve a variety of partners. The programme will only be open to the 142 eligible places listed </w:t>
      </w:r>
      <w:hyperlink r:id="rId8" w:history="1">
        <w:r w:rsidRPr="00094875">
          <w:rPr>
            <w:rStyle w:val="Hyperlink"/>
            <w:rFonts w:cs="Arial"/>
            <w:sz w:val="20"/>
          </w:rPr>
          <w:t>here</w:t>
        </w:r>
      </w:hyperlink>
      <w:r w:rsidRPr="004A1045">
        <w:rPr>
          <w:rFonts w:cs="Arial"/>
          <w:sz w:val="20"/>
        </w:rPr>
        <w:t xml:space="preserve"> </w:t>
      </w:r>
    </w:p>
    <w:p w14:paraId="75E38FC7" w14:textId="77777777" w:rsidR="0006480F" w:rsidRPr="004A1045" w:rsidRDefault="0006480F" w:rsidP="004A1045">
      <w:pPr>
        <w:spacing w:line="276" w:lineRule="auto"/>
        <w:rPr>
          <w:rFonts w:cs="Arial"/>
          <w:sz w:val="20"/>
        </w:rPr>
      </w:pPr>
    </w:p>
    <w:p w14:paraId="360FCA85" w14:textId="69F69AF0" w:rsidR="0006480F" w:rsidRPr="004A1045" w:rsidRDefault="0006480F" w:rsidP="004A1045">
      <w:pPr>
        <w:spacing w:line="276" w:lineRule="auto"/>
        <w:rPr>
          <w:rFonts w:cs="Arial"/>
          <w:sz w:val="20"/>
        </w:rPr>
      </w:pPr>
      <w:r w:rsidRPr="004A1045">
        <w:rPr>
          <w:rFonts w:cs="Arial"/>
          <w:sz w:val="20"/>
        </w:rPr>
        <w:t xml:space="preserve">The </w:t>
      </w:r>
      <w:r w:rsidRPr="004A1045">
        <w:rPr>
          <w:rFonts w:cs="Arial"/>
          <w:b/>
          <w:bCs/>
          <w:sz w:val="20"/>
        </w:rPr>
        <w:t>central aims</w:t>
      </w:r>
      <w:r w:rsidRPr="004A1045">
        <w:rPr>
          <w:rFonts w:cs="Arial"/>
          <w:sz w:val="20"/>
        </w:rPr>
        <w:t xml:space="preserve"> of the programme are as follows:</w:t>
      </w:r>
    </w:p>
    <w:p w14:paraId="16D91939" w14:textId="77777777" w:rsidR="0006480F" w:rsidRPr="004A1045" w:rsidRDefault="0006480F" w:rsidP="004A1045">
      <w:pPr>
        <w:spacing w:line="276" w:lineRule="auto"/>
        <w:rPr>
          <w:rFonts w:cs="Arial"/>
          <w:sz w:val="20"/>
        </w:rPr>
      </w:pPr>
      <w:r w:rsidRPr="004A1045">
        <w:rPr>
          <w:rFonts w:cs="Arial"/>
          <w:sz w:val="20"/>
        </w:rPr>
        <w:t xml:space="preserve">1. </w:t>
      </w:r>
      <w:r w:rsidRPr="004A1045">
        <w:rPr>
          <w:rFonts w:cs="Arial"/>
          <w:sz w:val="20"/>
          <w:u w:val="single"/>
        </w:rPr>
        <w:t>Engage more people</w:t>
      </w:r>
      <w:r w:rsidRPr="004A1045">
        <w:rPr>
          <w:rFonts w:cs="Arial"/>
          <w:sz w:val="20"/>
        </w:rPr>
        <w:t xml:space="preserve"> from identified places in a wide range of arts and cultural experiences as audiences and/or participants </w:t>
      </w:r>
    </w:p>
    <w:p w14:paraId="21A96F6F" w14:textId="77777777" w:rsidR="0006480F" w:rsidRPr="004A1045" w:rsidRDefault="0006480F" w:rsidP="004A1045">
      <w:pPr>
        <w:spacing w:line="276" w:lineRule="auto"/>
        <w:rPr>
          <w:rFonts w:cs="Arial"/>
          <w:sz w:val="20"/>
        </w:rPr>
      </w:pPr>
      <w:r w:rsidRPr="004A1045">
        <w:rPr>
          <w:rFonts w:cs="Arial"/>
          <w:sz w:val="20"/>
        </w:rPr>
        <w:t>2.</w:t>
      </w:r>
      <w:r w:rsidRPr="004A1045">
        <w:rPr>
          <w:rFonts w:cs="Arial"/>
          <w:sz w:val="20"/>
          <w:u w:val="single"/>
        </w:rPr>
        <w:t>Empower communities</w:t>
      </w:r>
      <w:r w:rsidRPr="004A1045">
        <w:rPr>
          <w:rFonts w:cs="Arial"/>
          <w:sz w:val="20"/>
        </w:rPr>
        <w:t xml:space="preserve"> to lead and shape local cultural provision.</w:t>
      </w:r>
    </w:p>
    <w:p w14:paraId="7C24B2FD" w14:textId="77777777" w:rsidR="0006480F" w:rsidRPr="004A1045" w:rsidRDefault="0006480F" w:rsidP="004A1045">
      <w:pPr>
        <w:spacing w:line="276" w:lineRule="auto"/>
        <w:rPr>
          <w:rFonts w:cs="Arial"/>
          <w:sz w:val="20"/>
        </w:rPr>
      </w:pPr>
      <w:r w:rsidRPr="004A1045">
        <w:rPr>
          <w:rFonts w:cs="Arial"/>
          <w:sz w:val="20"/>
        </w:rPr>
        <w:t xml:space="preserve">3. </w:t>
      </w:r>
      <w:r w:rsidRPr="004A1045">
        <w:rPr>
          <w:rFonts w:cs="Arial"/>
          <w:sz w:val="20"/>
          <w:u w:val="single"/>
        </w:rPr>
        <w:t>Ensure</w:t>
      </w:r>
      <w:r w:rsidRPr="004A1045">
        <w:rPr>
          <w:rFonts w:cs="Arial"/>
          <w:sz w:val="20"/>
        </w:rPr>
        <w:t xml:space="preserve"> both the engagement process and the creative and cultural experiences on offer are </w:t>
      </w:r>
      <w:r w:rsidRPr="004A1045">
        <w:rPr>
          <w:rFonts w:cs="Arial"/>
          <w:sz w:val="20"/>
          <w:u w:val="single"/>
        </w:rPr>
        <w:t>relevant and excellent</w:t>
      </w:r>
      <w:r w:rsidRPr="004A1045">
        <w:rPr>
          <w:rFonts w:cs="Arial"/>
          <w:sz w:val="20"/>
        </w:rPr>
        <w:t>.</w:t>
      </w:r>
    </w:p>
    <w:p w14:paraId="26F3808F" w14:textId="77777777" w:rsidR="0006480F" w:rsidRPr="004A1045" w:rsidRDefault="0006480F" w:rsidP="004A1045">
      <w:pPr>
        <w:spacing w:line="276" w:lineRule="auto"/>
        <w:rPr>
          <w:rFonts w:cs="Arial"/>
          <w:sz w:val="20"/>
        </w:rPr>
      </w:pPr>
      <w:r w:rsidRPr="004A1045">
        <w:rPr>
          <w:rFonts w:cs="Arial"/>
          <w:sz w:val="20"/>
        </w:rPr>
        <w:t xml:space="preserve">4. </w:t>
      </w:r>
      <w:r w:rsidRPr="004A1045">
        <w:rPr>
          <w:rFonts w:cs="Arial"/>
          <w:sz w:val="20"/>
          <w:u w:val="single"/>
        </w:rPr>
        <w:t>Encourage partnerships</w:t>
      </w:r>
      <w:r w:rsidRPr="004A1045">
        <w:rPr>
          <w:rFonts w:cs="Arial"/>
          <w:sz w:val="20"/>
        </w:rPr>
        <w:t xml:space="preserve"> between publicly funded, amateur, voluntary, community and commercial sectors, as well as collaboration across various cultural institutions.</w:t>
      </w:r>
    </w:p>
    <w:p w14:paraId="219099E7" w14:textId="13C7E7D9" w:rsidR="00DA43C7" w:rsidRPr="004A1045" w:rsidRDefault="0006480F" w:rsidP="004A1045">
      <w:pPr>
        <w:spacing w:line="276" w:lineRule="auto"/>
        <w:rPr>
          <w:rFonts w:cs="Arial"/>
          <w:sz w:val="20"/>
        </w:rPr>
      </w:pPr>
      <w:r w:rsidRPr="004A1045">
        <w:rPr>
          <w:rFonts w:cs="Arial"/>
          <w:sz w:val="20"/>
        </w:rPr>
        <w:t xml:space="preserve">5. </w:t>
      </w:r>
      <w:r w:rsidRPr="004A1045">
        <w:rPr>
          <w:rFonts w:cs="Arial"/>
          <w:sz w:val="20"/>
          <w:u w:val="single"/>
        </w:rPr>
        <w:t>Take an Action Research approach</w:t>
      </w:r>
      <w:r w:rsidRPr="004A1045">
        <w:rPr>
          <w:rFonts w:cs="Arial"/>
          <w:sz w:val="20"/>
        </w:rPr>
        <w:t xml:space="preserve"> to community engagement in arts, creativity and culture; learn what works best and share that learning.</w:t>
      </w:r>
    </w:p>
    <w:p w14:paraId="29E7A1C2" w14:textId="77777777" w:rsidR="0006480F" w:rsidRPr="004A1045" w:rsidRDefault="0006480F" w:rsidP="004A1045">
      <w:pPr>
        <w:spacing w:line="276" w:lineRule="auto"/>
        <w:rPr>
          <w:rFonts w:cs="Arial"/>
          <w:sz w:val="20"/>
        </w:rPr>
      </w:pPr>
    </w:p>
    <w:p w14:paraId="37AFF10B" w14:textId="707233EF" w:rsidR="0006480F" w:rsidRPr="004A1045" w:rsidRDefault="0006480F" w:rsidP="004A1045">
      <w:p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 xml:space="preserve">The programme is driven by </w:t>
      </w:r>
      <w:r w:rsidRPr="004A1045">
        <w:rPr>
          <w:rFonts w:cs="Arial"/>
          <w:color w:val="000000" w:themeColor="text1"/>
          <w:sz w:val="20"/>
          <w:u w:val="single"/>
          <w:lang w:eastAsia="en-GB"/>
        </w:rPr>
        <w:t>three key questions</w:t>
      </w:r>
      <w:r w:rsidRPr="004A1045">
        <w:rPr>
          <w:rFonts w:cs="Arial"/>
          <w:color w:val="000000" w:themeColor="text1"/>
          <w:sz w:val="20"/>
          <w:lang w:eastAsia="en-GB"/>
        </w:rPr>
        <w:t xml:space="preserve"> that inform the outcomes we are looking for: </w:t>
      </w:r>
    </w:p>
    <w:p w14:paraId="73BF1633" w14:textId="77777777" w:rsidR="0006480F" w:rsidRPr="004A1045" w:rsidRDefault="0006480F" w:rsidP="004A1045">
      <w:pPr>
        <w:spacing w:line="276" w:lineRule="auto"/>
        <w:rPr>
          <w:rFonts w:eastAsia="Arial" w:cs="Arial"/>
          <w:sz w:val="20"/>
        </w:rPr>
      </w:pPr>
      <w:r w:rsidRPr="004A1045">
        <w:rPr>
          <w:rFonts w:cs="Arial"/>
          <w:sz w:val="20"/>
        </w:rPr>
        <w:t xml:space="preserve">1. </w:t>
      </w:r>
      <w:r w:rsidRPr="004A1045">
        <w:rPr>
          <w:rFonts w:eastAsia="Arial" w:cs="Arial"/>
          <w:sz w:val="20"/>
        </w:rPr>
        <w:t xml:space="preserve">Are more people from places of least engagement experiencing and inspired by creativity and culture and what are the most effective ways to achieve this? </w:t>
      </w:r>
    </w:p>
    <w:p w14:paraId="04C38F41" w14:textId="77777777" w:rsidR="0006480F" w:rsidRPr="004A1045" w:rsidRDefault="0006480F" w:rsidP="004A1045">
      <w:pPr>
        <w:spacing w:line="276" w:lineRule="auto"/>
        <w:rPr>
          <w:rFonts w:eastAsia="Arial" w:cs="Arial"/>
          <w:sz w:val="20"/>
        </w:rPr>
      </w:pPr>
      <w:r w:rsidRPr="004A1045">
        <w:rPr>
          <w:rFonts w:eastAsia="Arial" w:cs="Arial"/>
          <w:sz w:val="20"/>
        </w:rPr>
        <w:t>2. What approaches enable us to deliver on our aspiration for excellence, both in the process of community engagement and the creative and cultural experiences on offer?</w:t>
      </w:r>
    </w:p>
    <w:p w14:paraId="2C5AD7C3" w14:textId="183E681B" w:rsidR="0006480F" w:rsidRPr="004A1045" w:rsidRDefault="0006480F" w:rsidP="004A1045">
      <w:pPr>
        <w:spacing w:line="276" w:lineRule="auto"/>
        <w:rPr>
          <w:rFonts w:eastAsia="Arial" w:cs="Arial"/>
          <w:sz w:val="20"/>
        </w:rPr>
      </w:pPr>
      <w:r w:rsidRPr="004A1045">
        <w:rPr>
          <w:rFonts w:eastAsia="Arial" w:cs="Arial"/>
          <w:sz w:val="20"/>
        </w:rPr>
        <w:t>3. What else are we learning that facilitates better public engagement in creativity and culture?</w:t>
      </w:r>
    </w:p>
    <w:p w14:paraId="02A55ADB" w14:textId="77777777" w:rsidR="0006480F" w:rsidRPr="004A1045" w:rsidRDefault="0006480F" w:rsidP="004A1045">
      <w:pPr>
        <w:spacing w:line="276" w:lineRule="auto"/>
        <w:rPr>
          <w:rFonts w:cs="Arial"/>
          <w:b/>
          <w:bCs/>
          <w:sz w:val="20"/>
        </w:rPr>
      </w:pPr>
    </w:p>
    <w:p w14:paraId="68C0F033" w14:textId="48481017" w:rsidR="00DA43C7" w:rsidRPr="004A1045" w:rsidRDefault="00DA43C7" w:rsidP="004A1045">
      <w:pPr>
        <w:spacing w:line="276" w:lineRule="auto"/>
        <w:rPr>
          <w:rFonts w:cs="Arial"/>
          <w:b/>
          <w:bCs/>
          <w:sz w:val="20"/>
        </w:rPr>
      </w:pPr>
      <w:r w:rsidRPr="004A1045">
        <w:rPr>
          <w:rFonts w:cs="Arial"/>
          <w:b/>
          <w:bCs/>
          <w:sz w:val="20"/>
        </w:rPr>
        <w:t>Are there particular approaches we should be thinking about</w:t>
      </w:r>
      <w:r w:rsidR="009F75ED">
        <w:rPr>
          <w:rFonts w:cs="Arial"/>
          <w:b/>
          <w:bCs/>
          <w:sz w:val="20"/>
        </w:rPr>
        <w:t>?</w:t>
      </w:r>
    </w:p>
    <w:p w14:paraId="43B764FC" w14:textId="2FBB886D" w:rsidR="0006480F" w:rsidRPr="004A1045" w:rsidRDefault="0006480F" w:rsidP="004A1045">
      <w:pPr>
        <w:spacing w:line="276" w:lineRule="auto"/>
        <w:rPr>
          <w:rFonts w:cs="Arial"/>
          <w:sz w:val="20"/>
        </w:rPr>
      </w:pPr>
      <w:r w:rsidRPr="004A1045">
        <w:rPr>
          <w:rFonts w:cs="Arial"/>
          <w:sz w:val="20"/>
        </w:rPr>
        <w:t>In exploring how you will achieve the above aims, you may want to think about how you will</w:t>
      </w:r>
    </w:p>
    <w:p w14:paraId="6FF05D6C" w14:textId="56816675" w:rsidR="00375C71" w:rsidRPr="004A1045" w:rsidRDefault="00375C71"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Develop a clear methodology that empowers the local (non-arts) community to make decisions</w:t>
      </w:r>
    </w:p>
    <w:p w14:paraId="6DA9EAF1" w14:textId="37090422"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 xml:space="preserve">Develop programmes that respond to the demographic in your area and are inclusive of the </w:t>
      </w:r>
      <w:r w:rsidRPr="004A1045">
        <w:rPr>
          <w:rFonts w:cs="Arial"/>
          <w:i/>
          <w:iCs/>
          <w:sz w:val="20"/>
          <w:lang w:eastAsia="en-GB"/>
        </w:rPr>
        <w:t xml:space="preserve">whole </w:t>
      </w:r>
      <w:r w:rsidRPr="004A1045">
        <w:rPr>
          <w:rFonts w:cs="Arial"/>
          <w:sz w:val="20"/>
          <w:lang w:eastAsia="en-GB"/>
        </w:rPr>
        <w:t xml:space="preserve">place </w:t>
      </w:r>
    </w:p>
    <w:p w14:paraId="2AA6FFC3" w14:textId="4569E0C9"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Take an asset-based approach (</w:t>
      </w:r>
      <w:r w:rsidR="00375C71" w:rsidRPr="004A1045">
        <w:rPr>
          <w:rFonts w:cs="Arial"/>
          <w:sz w:val="20"/>
          <w:lang w:eastAsia="en-GB"/>
        </w:rPr>
        <w:t xml:space="preserve">for examples of what we mean by </w:t>
      </w:r>
      <w:r w:rsidR="00B11294">
        <w:rPr>
          <w:rFonts w:cs="Arial"/>
          <w:sz w:val="20"/>
          <w:lang w:eastAsia="en-GB"/>
        </w:rPr>
        <w:t>asset-based</w:t>
      </w:r>
      <w:r w:rsidR="00375C71" w:rsidRPr="004A1045">
        <w:rPr>
          <w:rFonts w:cs="Arial"/>
          <w:sz w:val="20"/>
          <w:lang w:eastAsia="en-GB"/>
        </w:rPr>
        <w:t xml:space="preserve"> see </w:t>
      </w:r>
      <w:hyperlink r:id="rId9" w:history="1">
        <w:r w:rsidR="00375C71" w:rsidRPr="004A1045">
          <w:rPr>
            <w:rStyle w:val="Hyperlink"/>
            <w:rFonts w:cs="Arial"/>
            <w:sz w:val="20"/>
            <w:lang w:eastAsia="en-GB"/>
          </w:rPr>
          <w:t>here</w:t>
        </w:r>
      </w:hyperlink>
      <w:r w:rsidRPr="004A1045">
        <w:rPr>
          <w:rFonts w:cs="Arial"/>
          <w:sz w:val="20"/>
          <w:lang w:eastAsia="en-GB"/>
        </w:rPr>
        <w:t>)</w:t>
      </w:r>
    </w:p>
    <w:p w14:paraId="63AE9801" w14:textId="77777777"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lastRenderedPageBreak/>
        <w:t xml:space="preserve">Both respond to public creative and cultural interests and provide a taste of the widest possible range of high-quality experiences (as audiences and participants) to support people to make an informed choice about the kinds of culture they may like </w:t>
      </w:r>
    </w:p>
    <w:p w14:paraId="3C0A5919" w14:textId="77777777"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 xml:space="preserve">Challenge and support people to try new and different things with </w:t>
      </w:r>
      <w:r w:rsidRPr="004A1045">
        <w:rPr>
          <w:rFonts w:cs="Arial"/>
          <w:i/>
          <w:iCs/>
          <w:sz w:val="20"/>
          <w:lang w:eastAsia="en-GB"/>
        </w:rPr>
        <w:t xml:space="preserve">all </w:t>
      </w:r>
      <w:r w:rsidRPr="004A1045">
        <w:rPr>
          <w:rFonts w:cs="Arial"/>
          <w:sz w:val="20"/>
          <w:lang w:eastAsia="en-GB"/>
        </w:rPr>
        <w:t xml:space="preserve">partners being introduced to new and broader creative and cultural choices (local, national and international) and different ways of working with communities </w:t>
      </w:r>
    </w:p>
    <w:p w14:paraId="7408DBC9" w14:textId="70D7CAA8"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Be clear about what is different about your approach. Perhaps explore appro</w:t>
      </w:r>
      <w:r w:rsidR="00375C71" w:rsidRPr="004A1045">
        <w:rPr>
          <w:rFonts w:cs="Arial"/>
          <w:sz w:val="20"/>
          <w:lang w:eastAsia="en-GB"/>
        </w:rPr>
        <w:t>a</w:t>
      </w:r>
      <w:r w:rsidRPr="004A1045">
        <w:rPr>
          <w:rFonts w:cs="Arial"/>
          <w:sz w:val="20"/>
          <w:lang w:eastAsia="en-GB"/>
        </w:rPr>
        <w:t xml:space="preserve">ches that you believe are not currently being tested anywhere else and might be distinctive to your programme. </w:t>
      </w:r>
    </w:p>
    <w:p w14:paraId="12E4A7B5" w14:textId="77777777" w:rsidR="0006480F" w:rsidRPr="004A1045" w:rsidRDefault="0006480F" w:rsidP="004A1045">
      <w:pPr>
        <w:numPr>
          <w:ilvl w:val="0"/>
          <w:numId w:val="15"/>
        </w:numPr>
        <w:autoSpaceDE w:val="0"/>
        <w:autoSpaceDN w:val="0"/>
        <w:adjustRightInd w:val="0"/>
        <w:spacing w:after="56" w:line="276" w:lineRule="auto"/>
        <w:rPr>
          <w:rFonts w:cs="Arial"/>
          <w:sz w:val="20"/>
          <w:lang w:eastAsia="en-GB"/>
        </w:rPr>
      </w:pPr>
      <w:r w:rsidRPr="004A1045">
        <w:rPr>
          <w:rFonts w:cs="Arial"/>
          <w:sz w:val="20"/>
          <w:lang w:eastAsia="en-GB"/>
        </w:rPr>
        <w:t xml:space="preserve">Reflect Arts Council England’s four </w:t>
      </w:r>
      <w:hyperlink r:id="rId10" w:history="1">
        <w:r w:rsidRPr="004A1045">
          <w:rPr>
            <w:rStyle w:val="Hyperlink"/>
            <w:rFonts w:cs="Arial"/>
            <w:sz w:val="20"/>
            <w:lang w:eastAsia="en-GB"/>
          </w:rPr>
          <w:t>Investment Principles</w:t>
        </w:r>
      </w:hyperlink>
      <w:r w:rsidRPr="004A1045">
        <w:rPr>
          <w:rFonts w:cs="Arial"/>
          <w:sz w:val="20"/>
          <w:lang w:eastAsia="en-GB"/>
        </w:rPr>
        <w:t xml:space="preserve"> </w:t>
      </w:r>
    </w:p>
    <w:p w14:paraId="4853DED6" w14:textId="77777777" w:rsidR="00DA43C7" w:rsidRPr="004A1045" w:rsidRDefault="00DA43C7" w:rsidP="004A1045">
      <w:pPr>
        <w:spacing w:line="276" w:lineRule="auto"/>
        <w:rPr>
          <w:rFonts w:cs="Arial"/>
          <w:sz w:val="20"/>
        </w:rPr>
      </w:pPr>
    </w:p>
    <w:p w14:paraId="5580F67D" w14:textId="77777777" w:rsidR="0006480F" w:rsidRPr="004A1045" w:rsidRDefault="0006480F" w:rsidP="004A1045">
      <w:pPr>
        <w:spacing w:line="276" w:lineRule="auto"/>
        <w:rPr>
          <w:rFonts w:cs="Arial"/>
          <w:b/>
          <w:bCs/>
          <w:color w:val="000000" w:themeColor="text1"/>
          <w:sz w:val="20"/>
          <w:lang w:eastAsia="en-GB"/>
        </w:rPr>
      </w:pPr>
      <w:r w:rsidRPr="004A1045">
        <w:rPr>
          <w:rFonts w:cs="Arial"/>
          <w:b/>
          <w:bCs/>
          <w:color w:val="000000" w:themeColor="text1"/>
          <w:sz w:val="20"/>
          <w:lang w:eastAsia="en-GB"/>
        </w:rPr>
        <w:t>Consortia and Partnership Agreements:</w:t>
      </w:r>
    </w:p>
    <w:p w14:paraId="4F7CED54" w14:textId="0FA23512" w:rsidR="0006480F" w:rsidRPr="004A1045" w:rsidRDefault="0006480F" w:rsidP="004A1045">
      <w:p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 xml:space="preserve">When the programme goes live - we will only accept applications from consortia. Governance arrangements should be led by the consortium, who act as an oversight board and hold the specifically recruited delivery team to account. We would not expect core consortium members to be </w:t>
      </w:r>
      <w:r w:rsidRPr="004A1045">
        <w:rPr>
          <w:rFonts w:cs="Arial"/>
          <w:i/>
          <w:iCs/>
          <w:color w:val="000000" w:themeColor="text1"/>
          <w:sz w:val="20"/>
          <w:lang w:eastAsia="en-GB"/>
        </w:rPr>
        <w:t>delivery</w:t>
      </w:r>
      <w:r w:rsidRPr="004A1045">
        <w:rPr>
          <w:rFonts w:cs="Arial"/>
          <w:color w:val="000000" w:themeColor="text1"/>
          <w:sz w:val="20"/>
          <w:lang w:eastAsia="en-GB"/>
        </w:rPr>
        <w:t xml:space="preserve"> partners in the programme unless by exception.</w:t>
      </w:r>
    </w:p>
    <w:p w14:paraId="06A99A24" w14:textId="77777777" w:rsidR="0006480F" w:rsidRPr="004A1045" w:rsidRDefault="0006480F" w:rsidP="004A1045">
      <w:pPr>
        <w:autoSpaceDE w:val="0"/>
        <w:autoSpaceDN w:val="0"/>
        <w:adjustRightInd w:val="0"/>
        <w:spacing w:line="276" w:lineRule="auto"/>
        <w:rPr>
          <w:rFonts w:cs="Arial"/>
          <w:color w:val="000000"/>
          <w:sz w:val="20"/>
          <w:lang w:eastAsia="en-GB"/>
        </w:rPr>
      </w:pPr>
    </w:p>
    <w:p w14:paraId="338B1CC3" w14:textId="0980EB29" w:rsidR="0006480F" w:rsidRPr="004A1045" w:rsidRDefault="0006480F" w:rsidP="004A1045">
      <w:p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By ‘consortium’ we mean a group of separate organisations joining together in a written partnership arrangement and co-operating to facilitate oversight of delivery of the programme of activity.</w:t>
      </w:r>
      <w:r w:rsidR="005F5BB5">
        <w:rPr>
          <w:rFonts w:cs="Arial"/>
          <w:color w:val="000000" w:themeColor="text1"/>
          <w:sz w:val="20"/>
          <w:lang w:eastAsia="en-GB"/>
        </w:rPr>
        <w:t xml:space="preserve"> </w:t>
      </w:r>
    </w:p>
    <w:p w14:paraId="7ADB3BD4" w14:textId="77777777" w:rsidR="0006480F" w:rsidRPr="004A1045" w:rsidRDefault="0006480F" w:rsidP="004A1045">
      <w:pPr>
        <w:autoSpaceDE w:val="0"/>
        <w:autoSpaceDN w:val="0"/>
        <w:adjustRightInd w:val="0"/>
        <w:spacing w:line="276" w:lineRule="auto"/>
        <w:rPr>
          <w:rFonts w:cs="Arial"/>
          <w:b/>
          <w:bCs/>
          <w:color w:val="000000"/>
          <w:sz w:val="20"/>
          <w:lang w:eastAsia="en-GB"/>
        </w:rPr>
      </w:pPr>
    </w:p>
    <w:p w14:paraId="47932FCC" w14:textId="2EB5E3E0" w:rsidR="0006480F" w:rsidRPr="004A1045" w:rsidRDefault="004A1045" w:rsidP="004A1045">
      <w:pPr>
        <w:pStyle w:val="ListParagraph"/>
        <w:numPr>
          <w:ilvl w:val="0"/>
          <w:numId w:val="16"/>
        </w:numPr>
        <w:autoSpaceDE w:val="0"/>
        <w:autoSpaceDN w:val="0"/>
        <w:adjustRightInd w:val="0"/>
        <w:spacing w:line="276" w:lineRule="auto"/>
        <w:rPr>
          <w:rFonts w:cs="Arial"/>
          <w:color w:val="000000"/>
          <w:sz w:val="20"/>
          <w:lang w:eastAsia="en-GB"/>
        </w:rPr>
      </w:pPr>
      <w:r>
        <w:rPr>
          <w:rFonts w:cs="Arial"/>
          <w:color w:val="000000"/>
          <w:sz w:val="20"/>
          <w:lang w:eastAsia="en-GB"/>
        </w:rPr>
        <w:t>We currently only accept applications from C</w:t>
      </w:r>
      <w:r w:rsidR="0006480F" w:rsidRPr="004A1045">
        <w:rPr>
          <w:rFonts w:cs="Arial"/>
          <w:color w:val="000000"/>
          <w:sz w:val="20"/>
          <w:lang w:eastAsia="en-GB"/>
        </w:rPr>
        <w:t>onsort</w:t>
      </w:r>
      <w:r>
        <w:rPr>
          <w:rFonts w:cs="Arial"/>
          <w:color w:val="000000"/>
          <w:sz w:val="20"/>
          <w:lang w:eastAsia="en-GB"/>
        </w:rPr>
        <w:t>ia,</w:t>
      </w:r>
      <w:r w:rsidR="0006480F" w:rsidRPr="004A1045">
        <w:rPr>
          <w:rFonts w:cs="Arial"/>
          <w:color w:val="000000"/>
          <w:sz w:val="20"/>
          <w:lang w:eastAsia="en-GB"/>
        </w:rPr>
        <w:t xml:space="preserve"> led by a single organisation representing and </w:t>
      </w:r>
      <w:r w:rsidR="0006480F" w:rsidRPr="004A1045">
        <w:rPr>
          <w:rFonts w:cs="Arial"/>
          <w:i/>
          <w:iCs/>
          <w:color w:val="000000"/>
          <w:sz w:val="20"/>
          <w:lang w:eastAsia="en-GB"/>
        </w:rPr>
        <w:t>on behalf of</w:t>
      </w:r>
      <w:r w:rsidR="0006480F" w:rsidRPr="004A1045">
        <w:rPr>
          <w:rFonts w:cs="Arial"/>
          <w:color w:val="000000"/>
          <w:sz w:val="20"/>
          <w:lang w:eastAsia="en-GB"/>
        </w:rPr>
        <w:t>, the consortium.</w:t>
      </w:r>
    </w:p>
    <w:p w14:paraId="749D81A5" w14:textId="2EB9267E"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sz w:val="20"/>
          <w:lang w:eastAsia="en-GB"/>
        </w:rPr>
        <w:t xml:space="preserve">Consortia </w:t>
      </w:r>
      <w:r w:rsidRPr="004A1045">
        <w:rPr>
          <w:rFonts w:cs="Arial"/>
          <w:i/>
          <w:iCs/>
          <w:color w:val="000000"/>
          <w:sz w:val="20"/>
          <w:lang w:eastAsia="en-GB"/>
        </w:rPr>
        <w:t>must include</w:t>
      </w:r>
      <w:r w:rsidRPr="004A1045">
        <w:rPr>
          <w:rFonts w:cs="Arial"/>
          <w:color w:val="000000"/>
          <w:sz w:val="20"/>
          <w:lang w:eastAsia="en-GB"/>
        </w:rPr>
        <w:t xml:space="preserve"> community and/or grass roots organisations (non-arts/cultural) and arts/cultural organisations. The community representation cannot be from cultural organisations or groups.</w:t>
      </w:r>
    </w:p>
    <w:p w14:paraId="59837D4B" w14:textId="77777777"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sz w:val="20"/>
          <w:lang w:eastAsia="en-GB"/>
        </w:rPr>
        <w:t>Individuals cannot be core consortium members</w:t>
      </w:r>
    </w:p>
    <w:p w14:paraId="246A84E2" w14:textId="77777777"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Each consortium should have three to five core members, with additional affiliates/partners who may change over time.</w:t>
      </w:r>
    </w:p>
    <w:p w14:paraId="25789564" w14:textId="6C9108E8"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sz w:val="20"/>
          <w:lang w:eastAsia="en-GB"/>
        </w:rPr>
        <w:t xml:space="preserve">Consortia </w:t>
      </w:r>
      <w:r w:rsidR="00375C71" w:rsidRPr="004A1045">
        <w:rPr>
          <w:rFonts w:cs="Arial"/>
          <w:color w:val="000000"/>
          <w:sz w:val="20"/>
          <w:lang w:eastAsia="en-GB"/>
        </w:rPr>
        <w:t>may wish to</w:t>
      </w:r>
      <w:r w:rsidRPr="004A1045">
        <w:rPr>
          <w:rFonts w:cs="Arial"/>
          <w:color w:val="000000"/>
          <w:sz w:val="20"/>
          <w:lang w:eastAsia="en-GB"/>
        </w:rPr>
        <w:t xml:space="preserve"> consider appointing an independent chair</w:t>
      </w:r>
    </w:p>
    <w:p w14:paraId="2D88F902" w14:textId="62209E65"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sz w:val="20"/>
          <w:lang w:eastAsia="en-GB"/>
        </w:rPr>
        <w:t xml:space="preserve">Partnership agreements between core consortium members are essential </w:t>
      </w:r>
    </w:p>
    <w:p w14:paraId="7AC59245" w14:textId="77777777"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Organisations can be core members in only one consortium application.</w:t>
      </w:r>
    </w:p>
    <w:p w14:paraId="08896B63" w14:textId="282ED43C" w:rsidR="0006480F" w:rsidRPr="004A1045" w:rsidRDefault="0006480F" w:rsidP="4B4A4DAE">
      <w:pPr>
        <w:pStyle w:val="ListParagraph"/>
        <w:numPr>
          <w:ilvl w:val="0"/>
          <w:numId w:val="16"/>
        </w:numPr>
        <w:autoSpaceDE w:val="0"/>
        <w:autoSpaceDN w:val="0"/>
        <w:adjustRightInd w:val="0"/>
        <w:spacing w:line="276" w:lineRule="auto"/>
        <w:rPr>
          <w:rFonts w:cs="Arial"/>
          <w:color w:val="000000"/>
          <w:sz w:val="20"/>
          <w:lang w:eastAsia="en-GB"/>
        </w:rPr>
      </w:pPr>
      <w:r w:rsidRPr="6B7601E7">
        <w:rPr>
          <w:rFonts w:cs="Arial"/>
          <w:color w:val="000000" w:themeColor="text1"/>
          <w:sz w:val="20"/>
          <w:lang w:eastAsia="en-GB"/>
        </w:rPr>
        <w:t>Consortia may apply to cover multiple places</w:t>
      </w:r>
      <w:r w:rsidR="3E4B6263" w:rsidRPr="6B7601E7">
        <w:rPr>
          <w:rFonts w:cs="Arial"/>
          <w:color w:val="000000" w:themeColor="text1"/>
          <w:sz w:val="20"/>
          <w:lang w:eastAsia="en-GB"/>
        </w:rPr>
        <w:t>,</w:t>
      </w:r>
      <w:r w:rsidRPr="6B7601E7">
        <w:rPr>
          <w:rFonts w:cs="Arial"/>
          <w:color w:val="000000" w:themeColor="text1"/>
          <w:sz w:val="20"/>
          <w:lang w:eastAsia="en-GB"/>
        </w:rPr>
        <w:t xml:space="preserve"> if it makes geographical sense.</w:t>
      </w:r>
    </w:p>
    <w:p w14:paraId="2D99F5FD" w14:textId="607B172E" w:rsidR="0006480F" w:rsidRPr="004A1045" w:rsidRDefault="0006480F" w:rsidP="004A1045">
      <w:pPr>
        <w:pStyle w:val="ListParagraph"/>
        <w:numPr>
          <w:ilvl w:val="0"/>
          <w:numId w:val="16"/>
        </w:numPr>
        <w:autoSpaceDE w:val="0"/>
        <w:autoSpaceDN w:val="0"/>
        <w:adjustRightInd w:val="0"/>
        <w:spacing w:line="276" w:lineRule="auto"/>
        <w:rPr>
          <w:rFonts w:cs="Arial"/>
          <w:color w:val="000000"/>
          <w:sz w:val="20"/>
          <w:lang w:eastAsia="en-GB"/>
        </w:rPr>
      </w:pPr>
      <w:r w:rsidRPr="004A1045">
        <w:rPr>
          <w:rFonts w:cs="Arial"/>
          <w:color w:val="000000" w:themeColor="text1"/>
          <w:sz w:val="20"/>
          <w:lang w:eastAsia="en-GB"/>
        </w:rPr>
        <w:t>Local authorities cannot be the lead applicant</w:t>
      </w:r>
    </w:p>
    <w:p w14:paraId="59A3F673" w14:textId="77777777" w:rsidR="00375C71" w:rsidRPr="004A1045" w:rsidRDefault="00375C71" w:rsidP="004A1045">
      <w:pPr>
        <w:autoSpaceDE w:val="0"/>
        <w:autoSpaceDN w:val="0"/>
        <w:adjustRightInd w:val="0"/>
        <w:spacing w:line="276" w:lineRule="auto"/>
        <w:rPr>
          <w:rFonts w:cs="Arial"/>
          <w:color w:val="000000"/>
          <w:sz w:val="20"/>
          <w:lang w:eastAsia="en-GB"/>
        </w:rPr>
      </w:pPr>
    </w:p>
    <w:p w14:paraId="44831C18" w14:textId="72AD21B8" w:rsidR="00375C71" w:rsidRPr="004A1045" w:rsidRDefault="00375C71" w:rsidP="004A1045">
      <w:pPr>
        <w:autoSpaceDE w:val="0"/>
        <w:autoSpaceDN w:val="0"/>
        <w:adjustRightInd w:val="0"/>
        <w:spacing w:line="276" w:lineRule="auto"/>
        <w:rPr>
          <w:rFonts w:cs="Arial"/>
          <w:b/>
          <w:bCs/>
          <w:color w:val="000000"/>
          <w:sz w:val="20"/>
          <w:lang w:eastAsia="en-GB"/>
        </w:rPr>
      </w:pPr>
      <w:r w:rsidRPr="004A1045">
        <w:rPr>
          <w:rFonts w:cs="Arial"/>
          <w:b/>
          <w:bCs/>
          <w:color w:val="000000"/>
          <w:sz w:val="20"/>
          <w:lang w:eastAsia="en-GB"/>
        </w:rPr>
        <w:t>Anything else useful to know?</w:t>
      </w:r>
    </w:p>
    <w:p w14:paraId="793D4A47" w14:textId="779ED502" w:rsidR="00375C71" w:rsidRPr="004A1045" w:rsidRDefault="00375C71" w:rsidP="004A1045">
      <w:pPr>
        <w:pStyle w:val="ListParagraph"/>
        <w:numPr>
          <w:ilvl w:val="0"/>
          <w:numId w:val="17"/>
        </w:numPr>
        <w:autoSpaceDE w:val="0"/>
        <w:autoSpaceDN w:val="0"/>
        <w:adjustRightInd w:val="0"/>
        <w:spacing w:line="276" w:lineRule="auto"/>
        <w:rPr>
          <w:rFonts w:cs="Arial"/>
          <w:color w:val="000000"/>
          <w:sz w:val="20"/>
          <w:lang w:eastAsia="en-GB"/>
        </w:rPr>
      </w:pPr>
      <w:r w:rsidRPr="004A1045">
        <w:rPr>
          <w:rFonts w:cs="Arial"/>
          <w:color w:val="000000"/>
          <w:sz w:val="20"/>
          <w:lang w:eastAsia="en-GB"/>
        </w:rPr>
        <w:t xml:space="preserve">The current programme asks for a minimum of 15% match funding </w:t>
      </w:r>
    </w:p>
    <w:p w14:paraId="57930515" w14:textId="29F12B8F" w:rsidR="00375C71" w:rsidRPr="004A1045" w:rsidRDefault="00375C71" w:rsidP="004A1045">
      <w:pPr>
        <w:pStyle w:val="ListParagraph"/>
        <w:numPr>
          <w:ilvl w:val="0"/>
          <w:numId w:val="17"/>
        </w:numPr>
        <w:autoSpaceDE w:val="0"/>
        <w:autoSpaceDN w:val="0"/>
        <w:adjustRightInd w:val="0"/>
        <w:spacing w:line="276" w:lineRule="auto"/>
        <w:rPr>
          <w:rFonts w:cs="Arial"/>
          <w:color w:val="000000"/>
          <w:sz w:val="20"/>
          <w:lang w:eastAsia="en-GB"/>
        </w:rPr>
      </w:pPr>
      <w:r w:rsidRPr="004A1045">
        <w:rPr>
          <w:rFonts w:cs="Arial"/>
          <w:color w:val="000000"/>
          <w:sz w:val="20"/>
          <w:lang w:eastAsia="en-GB"/>
        </w:rPr>
        <w:t>It’s important that</w:t>
      </w:r>
      <w:r w:rsidRPr="004A1045">
        <w:rPr>
          <w:rFonts w:cs="Arial"/>
          <w:sz w:val="20"/>
        </w:rPr>
        <w:t xml:space="preserve"> you think about how you might demonstrate the capacity and skill of the lead organisation to manage the finances and a track record of managing ring fenced project budgets.</w:t>
      </w:r>
    </w:p>
    <w:p w14:paraId="3FA510BA" w14:textId="2E4E138F" w:rsidR="00375C71" w:rsidRPr="004A1045" w:rsidRDefault="00375C71" w:rsidP="004A1045">
      <w:pPr>
        <w:pStyle w:val="ListParagraph"/>
        <w:numPr>
          <w:ilvl w:val="0"/>
          <w:numId w:val="17"/>
        </w:numPr>
        <w:autoSpaceDE w:val="0"/>
        <w:autoSpaceDN w:val="0"/>
        <w:adjustRightInd w:val="0"/>
        <w:spacing w:line="276" w:lineRule="auto"/>
        <w:rPr>
          <w:rFonts w:cs="Arial"/>
          <w:color w:val="000000"/>
          <w:sz w:val="20"/>
          <w:lang w:eastAsia="en-GB"/>
        </w:rPr>
      </w:pPr>
      <w:r w:rsidRPr="6B7601E7">
        <w:rPr>
          <w:rFonts w:cs="Arial"/>
          <w:sz w:val="20"/>
        </w:rPr>
        <w:t>In th</w:t>
      </w:r>
      <w:r w:rsidR="004A1045" w:rsidRPr="6B7601E7">
        <w:rPr>
          <w:rFonts w:cs="Arial"/>
          <w:sz w:val="20"/>
        </w:rPr>
        <w:t xml:space="preserve">e </w:t>
      </w:r>
      <w:r w:rsidRPr="6B7601E7">
        <w:rPr>
          <w:rFonts w:cs="Arial"/>
          <w:sz w:val="20"/>
        </w:rPr>
        <w:t xml:space="preserve">event of a </w:t>
      </w:r>
      <w:r w:rsidR="004A1045" w:rsidRPr="6B7601E7">
        <w:rPr>
          <w:rFonts w:cs="Arial"/>
          <w:sz w:val="20"/>
        </w:rPr>
        <w:t>successful</w:t>
      </w:r>
      <w:r w:rsidRPr="6B7601E7">
        <w:rPr>
          <w:rFonts w:cs="Arial"/>
          <w:sz w:val="20"/>
        </w:rPr>
        <w:t xml:space="preserve"> application a newly appointed delivery team would be accountable to the consortium but </w:t>
      </w:r>
      <w:r w:rsidR="004A1045" w:rsidRPr="6B7601E7">
        <w:rPr>
          <w:rFonts w:cs="Arial"/>
          <w:sz w:val="20"/>
        </w:rPr>
        <w:t>expected to</w:t>
      </w:r>
      <w:r w:rsidRPr="6B7601E7">
        <w:rPr>
          <w:rFonts w:cs="Arial"/>
          <w:sz w:val="20"/>
        </w:rPr>
        <w:t xml:space="preserve"> maintain a level of operational independence</w:t>
      </w:r>
    </w:p>
    <w:p w14:paraId="7F1CA5B2" w14:textId="00B654E8" w:rsidR="6B7601E7" w:rsidRDefault="6B7601E7" w:rsidP="6B7601E7">
      <w:pPr>
        <w:spacing w:line="276" w:lineRule="auto"/>
        <w:rPr>
          <w:rFonts w:cs="Arial"/>
          <w:b/>
          <w:bCs/>
          <w:sz w:val="20"/>
        </w:rPr>
      </w:pPr>
    </w:p>
    <w:p w14:paraId="593754A0" w14:textId="3F0C3FBB" w:rsidR="00DA43C7" w:rsidRPr="004A1045" w:rsidRDefault="00DA43C7" w:rsidP="6B7601E7">
      <w:pPr>
        <w:spacing w:line="276" w:lineRule="auto"/>
        <w:rPr>
          <w:b/>
          <w:bCs/>
          <w:szCs w:val="24"/>
        </w:rPr>
      </w:pPr>
      <w:r w:rsidRPr="6B7601E7">
        <w:rPr>
          <w:rFonts w:cs="Arial"/>
          <w:b/>
          <w:bCs/>
          <w:sz w:val="20"/>
        </w:rPr>
        <w:t>Where else can I go for resources</w:t>
      </w:r>
      <w:r w:rsidR="0006480F" w:rsidRPr="6B7601E7">
        <w:rPr>
          <w:rFonts w:cs="Arial"/>
          <w:b/>
          <w:bCs/>
          <w:sz w:val="20"/>
        </w:rPr>
        <w:t xml:space="preserve"> or information</w:t>
      </w:r>
    </w:p>
    <w:p w14:paraId="03C908D5" w14:textId="40698770" w:rsidR="00DA43C7" w:rsidRPr="004A1045" w:rsidRDefault="00000000" w:rsidP="004A1045">
      <w:pPr>
        <w:spacing w:line="276" w:lineRule="auto"/>
        <w:rPr>
          <w:rFonts w:cs="Arial"/>
          <w:sz w:val="20"/>
        </w:rPr>
      </w:pPr>
      <w:hyperlink r:id="rId11" w:history="1">
        <w:r w:rsidR="00375C71" w:rsidRPr="004A1045">
          <w:rPr>
            <w:rStyle w:val="Hyperlink"/>
            <w:rFonts w:cs="Arial"/>
            <w:sz w:val="20"/>
          </w:rPr>
          <w:t>Creative People and Places learning pages</w:t>
        </w:r>
      </w:hyperlink>
      <w:r w:rsidR="00375C71" w:rsidRPr="004A1045">
        <w:rPr>
          <w:rFonts w:cs="Arial"/>
          <w:sz w:val="20"/>
        </w:rPr>
        <w:t xml:space="preserve"> </w:t>
      </w:r>
    </w:p>
    <w:p w14:paraId="23660D81" w14:textId="77777777" w:rsidR="00DA43C7" w:rsidRPr="0006480F" w:rsidRDefault="00DA43C7" w:rsidP="004A1045">
      <w:pPr>
        <w:spacing w:line="276" w:lineRule="auto"/>
        <w:rPr>
          <w:rFonts w:cs="Arial"/>
          <w:sz w:val="22"/>
          <w:szCs w:val="22"/>
        </w:rPr>
      </w:pPr>
    </w:p>
    <w:p w14:paraId="7F005F8D" w14:textId="3C62F766" w:rsidR="00DA43C7" w:rsidRPr="00DA43C7" w:rsidRDefault="00DA43C7" w:rsidP="00DA43C7">
      <w:pPr>
        <w:spacing w:line="320" w:lineRule="atLeast"/>
      </w:pPr>
    </w:p>
    <w:sectPr w:rsidR="00DA43C7" w:rsidRPr="00DA43C7">
      <w:footerReference w:type="default" r:id="rId12"/>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B7FB" w14:textId="77777777" w:rsidR="004165CD" w:rsidRDefault="004165CD" w:rsidP="004A1045">
      <w:pPr>
        <w:spacing w:line="240" w:lineRule="auto"/>
      </w:pPr>
      <w:r>
        <w:separator/>
      </w:r>
    </w:p>
  </w:endnote>
  <w:endnote w:type="continuationSeparator" w:id="0">
    <w:p w14:paraId="0F4D8094" w14:textId="77777777" w:rsidR="004165CD" w:rsidRDefault="004165CD" w:rsidP="004A1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17334"/>
      <w:docPartObj>
        <w:docPartGallery w:val="Page Numbers (Bottom of Page)"/>
        <w:docPartUnique/>
      </w:docPartObj>
    </w:sdtPr>
    <w:sdtEndPr>
      <w:rPr>
        <w:noProof/>
      </w:rPr>
    </w:sdtEndPr>
    <w:sdtContent>
      <w:p w14:paraId="3AA33E5B" w14:textId="6FC3A22F" w:rsidR="004A1045" w:rsidRDefault="004A10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3CC04" w14:textId="77777777" w:rsidR="004A1045" w:rsidRDefault="004A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FD35" w14:textId="77777777" w:rsidR="004165CD" w:rsidRDefault="004165CD" w:rsidP="004A1045">
      <w:pPr>
        <w:spacing w:line="240" w:lineRule="auto"/>
      </w:pPr>
      <w:r>
        <w:separator/>
      </w:r>
    </w:p>
  </w:footnote>
  <w:footnote w:type="continuationSeparator" w:id="0">
    <w:p w14:paraId="078EE95A" w14:textId="77777777" w:rsidR="004165CD" w:rsidRDefault="004165CD" w:rsidP="004A10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0236"/>
    <w:multiLevelType w:val="hybridMultilevel"/>
    <w:tmpl w:val="E4AEA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6B0C41"/>
    <w:multiLevelType w:val="hybridMultilevel"/>
    <w:tmpl w:val="74321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E4229B"/>
    <w:multiLevelType w:val="hybridMultilevel"/>
    <w:tmpl w:val="48B007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2130582294">
    <w:abstractNumId w:val="7"/>
  </w:num>
  <w:num w:numId="2" w16cid:durableId="1930649576">
    <w:abstractNumId w:val="2"/>
  </w:num>
  <w:num w:numId="3" w16cid:durableId="2144418200">
    <w:abstractNumId w:val="2"/>
  </w:num>
  <w:num w:numId="4" w16cid:durableId="1029182880">
    <w:abstractNumId w:val="2"/>
  </w:num>
  <w:num w:numId="5" w16cid:durableId="1069419060">
    <w:abstractNumId w:val="2"/>
  </w:num>
  <w:num w:numId="6" w16cid:durableId="873079099">
    <w:abstractNumId w:val="2"/>
  </w:num>
  <w:num w:numId="7" w16cid:durableId="546725862">
    <w:abstractNumId w:val="2"/>
  </w:num>
  <w:num w:numId="8" w16cid:durableId="161359167">
    <w:abstractNumId w:val="2"/>
  </w:num>
  <w:num w:numId="9" w16cid:durableId="228350627">
    <w:abstractNumId w:val="2"/>
  </w:num>
  <w:num w:numId="10" w16cid:durableId="1882207158">
    <w:abstractNumId w:val="2"/>
  </w:num>
  <w:num w:numId="11" w16cid:durableId="1093670729">
    <w:abstractNumId w:val="2"/>
  </w:num>
  <w:num w:numId="12" w16cid:durableId="2099205262">
    <w:abstractNumId w:val="4"/>
  </w:num>
  <w:num w:numId="13" w16cid:durableId="1849517038">
    <w:abstractNumId w:val="6"/>
  </w:num>
  <w:num w:numId="14" w16cid:durableId="1949041057">
    <w:abstractNumId w:val="3"/>
  </w:num>
  <w:num w:numId="15" w16cid:durableId="1636525722">
    <w:abstractNumId w:val="5"/>
  </w:num>
  <w:num w:numId="16" w16cid:durableId="371662259">
    <w:abstractNumId w:val="1"/>
  </w:num>
  <w:num w:numId="17" w16cid:durableId="94542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C7"/>
    <w:rsid w:val="0006480F"/>
    <w:rsid w:val="00094875"/>
    <w:rsid w:val="00375C71"/>
    <w:rsid w:val="004165CD"/>
    <w:rsid w:val="00465A0F"/>
    <w:rsid w:val="004A1045"/>
    <w:rsid w:val="005F5BB5"/>
    <w:rsid w:val="00804704"/>
    <w:rsid w:val="00883BA6"/>
    <w:rsid w:val="009E5B3D"/>
    <w:rsid w:val="009F75ED"/>
    <w:rsid w:val="00A72285"/>
    <w:rsid w:val="00B11294"/>
    <w:rsid w:val="00BA0F17"/>
    <w:rsid w:val="00DA43C7"/>
    <w:rsid w:val="00EE082C"/>
    <w:rsid w:val="00F807F9"/>
    <w:rsid w:val="06BD9D82"/>
    <w:rsid w:val="13515E48"/>
    <w:rsid w:val="162BB3DE"/>
    <w:rsid w:val="2C6E20F6"/>
    <w:rsid w:val="30C35484"/>
    <w:rsid w:val="3E4B6263"/>
    <w:rsid w:val="4B4A4DAE"/>
    <w:rsid w:val="6B7601E7"/>
    <w:rsid w:val="6DD3D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2B82"/>
  <w15:chartTrackingRefBased/>
  <w15:docId w15:val="{EF734D5A-7E80-4907-AD44-9DBD90B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styleId="UnresolvedMention">
    <w:name w:val="Unresolved Mention"/>
    <w:basedOn w:val="DefaultParagraphFont"/>
    <w:uiPriority w:val="99"/>
    <w:semiHidden/>
    <w:unhideWhenUsed/>
    <w:rsid w:val="00DA43C7"/>
    <w:rPr>
      <w:color w:val="605E5C"/>
      <w:shd w:val="clear" w:color="auto" w:fill="E1DFDD"/>
    </w:rPr>
  </w:style>
  <w:style w:type="paragraph" w:styleId="ListParagraph">
    <w:name w:val="List Paragraph"/>
    <w:basedOn w:val="Normal"/>
    <w:uiPriority w:val="34"/>
    <w:qFormat/>
    <w:rsid w:val="0006480F"/>
    <w:pPr>
      <w:ind w:left="720"/>
      <w:contextualSpacing/>
    </w:pPr>
  </w:style>
  <w:style w:type="character" w:customStyle="1" w:styleId="FooterChar">
    <w:name w:val="Footer Char"/>
    <w:basedOn w:val="DefaultParagraphFont"/>
    <w:link w:val="Footer"/>
    <w:uiPriority w:val="99"/>
    <w:rsid w:val="004A104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creative-people-and-places-0/creative-people-and-places-national-portfolio-programme-2025-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scouncil.org.uk/lets-crea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creative-people-and-places-0/learning-creative-people-and-places" TargetMode="External"/><Relationship Id="rId5" Type="http://schemas.openxmlformats.org/officeDocument/2006/relationships/footnotes" Target="footnotes.xml"/><Relationship Id="rId10" Type="http://schemas.openxmlformats.org/officeDocument/2006/relationships/hyperlink" Target="https://www.artscouncil.org.uk/lets-create/strategy-2020-2030/investment-principles" TargetMode="External"/><Relationship Id="rId4" Type="http://schemas.openxmlformats.org/officeDocument/2006/relationships/webSettings" Target="webSettings.xml"/><Relationship Id="rId9" Type="http://schemas.openxmlformats.org/officeDocument/2006/relationships/hyperlink" Target="https://www.nurturedevelopment.org/asset-based-community-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Blackman</dc:creator>
  <cp:keywords/>
  <dc:description/>
  <cp:lastModifiedBy>Rebecca Blackman</cp:lastModifiedBy>
  <cp:revision>13</cp:revision>
  <cp:lastPrinted>1998-09-28T15:30:00Z</cp:lastPrinted>
  <dcterms:created xsi:type="dcterms:W3CDTF">2023-09-05T14:34:00Z</dcterms:created>
  <dcterms:modified xsi:type="dcterms:W3CDTF">2023-10-10T20:02:00Z</dcterms:modified>
</cp:coreProperties>
</file>