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692" w14:textId="77777777" w:rsidR="009A4340" w:rsidRPr="000536C9" w:rsidRDefault="009A4340" w:rsidP="008E6B88">
      <w:pPr>
        <w:pStyle w:val="Title"/>
      </w:pPr>
    </w:p>
    <w:p w14:paraId="0EECEAE3" w14:textId="77777777" w:rsidR="00BD1BB0" w:rsidRDefault="009A4340" w:rsidP="002E320D">
      <w:pPr>
        <w:pStyle w:val="Title"/>
        <w:rPr>
          <w:color w:val="323E4F" w:themeColor="text2" w:themeShade="BF"/>
          <w:sz w:val="52"/>
          <w:szCs w:val="52"/>
        </w:rPr>
      </w:pPr>
      <w:r w:rsidRPr="002E320D">
        <w:rPr>
          <w:color w:val="323E4F" w:themeColor="text2" w:themeShade="BF"/>
          <w:sz w:val="52"/>
          <w:szCs w:val="52"/>
        </w:rPr>
        <w:t>Transforming Governance Resources</w:t>
      </w:r>
    </w:p>
    <w:p w14:paraId="37A74476" w14:textId="2CC958C8" w:rsidR="00A40E69" w:rsidRDefault="006E4D67" w:rsidP="00BB198E">
      <w:r>
        <w:rPr>
          <w:noProof/>
          <w14:ligatures w14:val="standardContextual"/>
        </w:rPr>
      </w:r>
      <w:r w:rsidR="006E4D67">
        <w:rPr>
          <w:noProof/>
          <w14:ligatures w14:val="standardContextual"/>
        </w:rPr>
        <w:pict w14:anchorId="17BFE61B">
          <v:rect id="_x0000_i1025" alt="" style="width:451.3pt;height:.05pt;mso-width-percent:0;mso-height-percent:0;mso-width-percent:0;mso-height-percent:0" o:hralign="center" o:hrstd="t" o:hr="t" fillcolor="#a0a0a0" stroked="f"/>
        </w:pict>
      </w:r>
    </w:p>
    <w:p w14:paraId="202D6676" w14:textId="77777777" w:rsidR="00512CFB" w:rsidRPr="00A40E69" w:rsidRDefault="00512CFB" w:rsidP="00BB198E"/>
    <w:p w14:paraId="34C77222" w14:textId="4012D704" w:rsidR="00A40E69" w:rsidRDefault="00BB198E" w:rsidP="00A40E69">
      <w:pPr>
        <w:spacing w:line="276" w:lineRule="auto"/>
        <w:rPr>
          <w:rFonts w:ascii="Arial" w:hAnsi="Arial" w:cs="Arial"/>
          <w:sz w:val="22"/>
          <w:szCs w:val="22"/>
        </w:rPr>
      </w:pPr>
      <w:r w:rsidRPr="00B85694">
        <w:rPr>
          <w:rFonts w:ascii="Arial" w:hAnsi="Arial" w:cs="Arial"/>
          <w:sz w:val="22"/>
          <w:szCs w:val="22"/>
        </w:rPr>
        <w:t xml:space="preserve">The following document provides a series of resources for participants of the Transforming Governance Programme. </w:t>
      </w:r>
    </w:p>
    <w:p w14:paraId="1DDB7729" w14:textId="77777777" w:rsidR="00602393" w:rsidRDefault="00602393" w:rsidP="00A40E69">
      <w:pPr>
        <w:spacing w:line="276" w:lineRule="auto"/>
        <w:rPr>
          <w:rFonts w:ascii="Arial" w:hAnsi="Arial" w:cs="Arial"/>
        </w:rPr>
      </w:pPr>
    </w:p>
    <w:p w14:paraId="617059CB" w14:textId="3E9CC5D8" w:rsidR="004F3E31" w:rsidRPr="0028117E" w:rsidRDefault="00602393" w:rsidP="0028117E">
      <w:pPr>
        <w:pStyle w:val="Heading1"/>
        <w:rPr>
          <w:b/>
          <w:bCs/>
          <w:color w:val="44546A" w:themeColor="text2"/>
          <w:sz w:val="28"/>
          <w:szCs w:val="28"/>
        </w:rPr>
      </w:pPr>
      <w:r w:rsidRPr="0028117E">
        <w:rPr>
          <w:b/>
          <w:bCs/>
          <w:color w:val="44546A" w:themeColor="text2"/>
          <w:sz w:val="28"/>
          <w:szCs w:val="28"/>
        </w:rPr>
        <w:t xml:space="preserve">Overview of Governance for </w:t>
      </w:r>
      <w:r w:rsidR="00904BEC" w:rsidRPr="0028117E">
        <w:rPr>
          <w:b/>
          <w:bCs/>
          <w:color w:val="44546A" w:themeColor="text2"/>
          <w:sz w:val="28"/>
          <w:szCs w:val="28"/>
        </w:rPr>
        <w:t>Non-Charities</w:t>
      </w:r>
    </w:p>
    <w:p w14:paraId="2C5C9FC6" w14:textId="3C8E6DFE" w:rsidR="00B4009F" w:rsidRPr="00B4009F" w:rsidRDefault="005F177F" w:rsidP="00A40E69">
      <w:pPr>
        <w:spacing w:line="276" w:lineRule="auto"/>
        <w:rPr>
          <w:rFonts w:ascii="Arial" w:hAnsi="Arial" w:cs="Arial"/>
          <w:b/>
          <w:bCs/>
          <w:color w:val="FF0000"/>
          <w:sz w:val="22"/>
          <w:szCs w:val="22"/>
          <w:u w:val="single"/>
        </w:rPr>
      </w:pPr>
      <w:r w:rsidRPr="00B85694">
        <w:rPr>
          <w:rFonts w:ascii="ArialMT" w:hAnsi="ArialMT"/>
          <w:sz w:val="22"/>
          <w:szCs w:val="22"/>
        </w:rPr>
        <w:t>This module provides</w:t>
      </w:r>
      <w:r w:rsidR="004F3E31" w:rsidRPr="00B85694">
        <w:rPr>
          <w:rFonts w:ascii="ArialMT" w:hAnsi="ArialMT"/>
          <w:sz w:val="22"/>
          <w:szCs w:val="22"/>
        </w:rPr>
        <w:t xml:space="preserve"> </w:t>
      </w:r>
      <w:r w:rsidRPr="00B85694">
        <w:rPr>
          <w:rFonts w:ascii="ArialMT" w:hAnsi="ArialMT"/>
          <w:sz w:val="22"/>
          <w:szCs w:val="22"/>
        </w:rPr>
        <w:t xml:space="preserve">an overview of </w:t>
      </w:r>
      <w:r w:rsidR="004F3E31" w:rsidRPr="00B85694">
        <w:rPr>
          <w:rFonts w:ascii="ArialMT" w:hAnsi="ArialMT"/>
          <w:sz w:val="22"/>
          <w:szCs w:val="22"/>
        </w:rPr>
        <w:t>good governance,</w:t>
      </w:r>
      <w:r w:rsidRPr="00B85694">
        <w:rPr>
          <w:rFonts w:ascii="ArialMT" w:hAnsi="ArialMT"/>
          <w:sz w:val="22"/>
          <w:szCs w:val="22"/>
        </w:rPr>
        <w:t xml:space="preserve"> as well as</w:t>
      </w:r>
      <w:r w:rsidR="004F3E31" w:rsidRPr="00B85694">
        <w:rPr>
          <w:rFonts w:ascii="ArialMT" w:hAnsi="ArialMT"/>
          <w:sz w:val="22"/>
          <w:szCs w:val="22"/>
        </w:rPr>
        <w:t xml:space="preserve"> the roles, responsibilities and needs of </w:t>
      </w:r>
      <w:r w:rsidR="00904BEC" w:rsidRPr="00B85694">
        <w:rPr>
          <w:rFonts w:ascii="ArialMT" w:hAnsi="ArialMT"/>
          <w:sz w:val="22"/>
          <w:szCs w:val="22"/>
        </w:rPr>
        <w:t>those governing Community Interest Companies, Local Authorities and Universities.</w:t>
      </w:r>
      <w:r w:rsidR="001D14FF">
        <w:rPr>
          <w:rFonts w:ascii="ArialMT" w:hAnsi="ArialMT"/>
          <w:sz w:val="22"/>
          <w:szCs w:val="22"/>
        </w:rPr>
        <w:br/>
      </w:r>
    </w:p>
    <w:p w14:paraId="5C12D736" w14:textId="222CD996" w:rsidR="000F18EB" w:rsidRPr="004D6A0E" w:rsidRDefault="007777BB" w:rsidP="004D6A0E">
      <w:pPr>
        <w:pStyle w:val="Heading2"/>
        <w:rPr>
          <w:b/>
          <w:bCs/>
          <w:color w:val="4472C4" w:themeColor="accent1"/>
        </w:rPr>
      </w:pPr>
      <w:r w:rsidRPr="004D6A0E">
        <w:rPr>
          <w:b/>
          <w:bCs/>
          <w:color w:val="4472C4" w:themeColor="accent1"/>
        </w:rPr>
        <w:t>Community Interest Companies</w:t>
      </w:r>
    </w:p>
    <w:p w14:paraId="1DBDC4C6" w14:textId="175909D8" w:rsidR="007777BB" w:rsidRPr="00540655" w:rsidRDefault="007777BB" w:rsidP="00A40E69">
      <w:pPr>
        <w:spacing w:line="276" w:lineRule="auto"/>
        <w:rPr>
          <w:rFonts w:asciiTheme="minorHAnsi" w:hAnsiTheme="minorHAnsi" w:cstheme="minorHAnsi"/>
          <w:sz w:val="22"/>
          <w:szCs w:val="22"/>
        </w:rPr>
      </w:pPr>
      <w:r w:rsidRPr="00540655">
        <w:rPr>
          <w:rFonts w:asciiTheme="minorHAnsi" w:hAnsiTheme="minorHAnsi" w:cstheme="minorHAnsi"/>
          <w:sz w:val="22"/>
          <w:szCs w:val="22"/>
        </w:rPr>
        <w:t>The Office of the Regulator of Community Interest Companies created a step-by-step guide that is specifically designed for Community Interest Companies, how to set one up and how they should be managed. The guide covers a range of topics including:</w:t>
      </w:r>
    </w:p>
    <w:p w14:paraId="60F83110" w14:textId="77777777" w:rsidR="007777BB" w:rsidRPr="00540655" w:rsidRDefault="007777BB" w:rsidP="00A40E69">
      <w:pPr>
        <w:spacing w:line="276" w:lineRule="auto"/>
        <w:rPr>
          <w:rFonts w:asciiTheme="minorHAnsi" w:hAnsiTheme="minorHAnsi" w:cstheme="minorHAnsi"/>
          <w:sz w:val="22"/>
          <w:szCs w:val="22"/>
        </w:rPr>
      </w:pPr>
    </w:p>
    <w:p w14:paraId="2639B91C" w14:textId="536994B9"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Preliminary considerations</w:t>
      </w:r>
    </w:p>
    <w:p w14:paraId="5D033F4B" w14:textId="63723683"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Creating a CIC</w:t>
      </w:r>
    </w:p>
    <w:p w14:paraId="79CD3616" w14:textId="3CAE6262"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Constitutional documents</w:t>
      </w:r>
    </w:p>
    <w:p w14:paraId="0A0D2AFF" w14:textId="7FB455E9"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The ‘Asset Lock’</w:t>
      </w:r>
    </w:p>
    <w:p w14:paraId="6BA8E9FE" w14:textId="15B00EBA"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Finance</w:t>
      </w:r>
    </w:p>
    <w:p w14:paraId="712F2E8A" w14:textId="7F0FAD79"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Statutory obligations</w:t>
      </w:r>
    </w:p>
    <w:p w14:paraId="7E001F6E" w14:textId="0351061A"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Corporate governance</w:t>
      </w:r>
    </w:p>
    <w:p w14:paraId="49F33E84" w14:textId="51F28A83"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Regulations</w:t>
      </w:r>
    </w:p>
    <w:p w14:paraId="247C8225" w14:textId="1B78F802" w:rsidR="007777BB" w:rsidRPr="00540655" w:rsidRDefault="007777BB" w:rsidP="00A40E69">
      <w:pPr>
        <w:pStyle w:val="ListParagraph"/>
        <w:numPr>
          <w:ilvl w:val="0"/>
          <w:numId w:val="6"/>
        </w:numPr>
        <w:spacing w:line="276" w:lineRule="auto"/>
        <w:rPr>
          <w:rFonts w:asciiTheme="minorHAnsi" w:hAnsiTheme="minorHAnsi" w:cstheme="minorHAnsi"/>
          <w:sz w:val="22"/>
          <w:szCs w:val="22"/>
        </w:rPr>
      </w:pPr>
      <w:r w:rsidRPr="00540655">
        <w:rPr>
          <w:rFonts w:asciiTheme="minorHAnsi" w:hAnsiTheme="minorHAnsi" w:cstheme="minorHAnsi"/>
          <w:sz w:val="22"/>
          <w:szCs w:val="22"/>
        </w:rPr>
        <w:t>Worked examples</w:t>
      </w:r>
    </w:p>
    <w:p w14:paraId="477E41F0" w14:textId="77777777" w:rsidR="007777BB" w:rsidRPr="004D6A0E" w:rsidRDefault="007777BB" w:rsidP="00A40E69">
      <w:pPr>
        <w:spacing w:line="276" w:lineRule="auto"/>
        <w:rPr>
          <w:rFonts w:asciiTheme="minorHAnsi" w:hAnsiTheme="minorHAnsi" w:cstheme="minorHAnsi"/>
          <w:sz w:val="22"/>
          <w:szCs w:val="22"/>
        </w:rPr>
      </w:pPr>
    </w:p>
    <w:p w14:paraId="62C1EC3A" w14:textId="288CEA05" w:rsidR="007777BB" w:rsidRPr="004D6A0E" w:rsidRDefault="006E4D67" w:rsidP="00A40E69">
      <w:pPr>
        <w:spacing w:line="276" w:lineRule="auto"/>
        <w:rPr>
          <w:rFonts w:asciiTheme="minorHAnsi" w:hAnsiTheme="minorHAnsi" w:cstheme="minorHAnsi"/>
          <w:sz w:val="22"/>
          <w:szCs w:val="22"/>
        </w:rPr>
      </w:pPr>
      <w:hyperlink r:id="rId10" w:history="1">
        <w:r w:rsidR="007777BB" w:rsidRPr="004D6A0E">
          <w:rPr>
            <w:rStyle w:val="Hyperlink"/>
            <w:rFonts w:asciiTheme="minorHAnsi" w:hAnsiTheme="minorHAnsi" w:cstheme="minorHAnsi"/>
            <w:color w:val="auto"/>
            <w:sz w:val="22"/>
            <w:szCs w:val="22"/>
          </w:rPr>
          <w:t>Full guide here</w:t>
        </w:r>
      </w:hyperlink>
    </w:p>
    <w:p w14:paraId="41275475" w14:textId="77777777" w:rsidR="000771B6" w:rsidRPr="000536C9" w:rsidRDefault="000771B6" w:rsidP="00A40E69">
      <w:pPr>
        <w:spacing w:line="276" w:lineRule="auto"/>
        <w:ind w:right="-472"/>
        <w:rPr>
          <w:rFonts w:ascii="Arial" w:hAnsi="Arial" w:cs="Arial"/>
        </w:rPr>
      </w:pPr>
    </w:p>
    <w:p w14:paraId="1FBEF3C5" w14:textId="77777777" w:rsidR="00D448F4" w:rsidRPr="004D6A0E" w:rsidRDefault="00D448F4" w:rsidP="004D6A0E">
      <w:pPr>
        <w:pStyle w:val="Heading2"/>
        <w:rPr>
          <w:b/>
          <w:bCs/>
          <w:color w:val="4472C4" w:themeColor="accent1"/>
        </w:rPr>
      </w:pPr>
      <w:r w:rsidRPr="004D6A0E">
        <w:rPr>
          <w:b/>
          <w:bCs/>
          <w:color w:val="4472C4" w:themeColor="accent1"/>
        </w:rPr>
        <w:t>Setting up a Community Interest Company</w:t>
      </w:r>
    </w:p>
    <w:p w14:paraId="759E6495" w14:textId="5480429C" w:rsidR="00D448F4" w:rsidRPr="00540655" w:rsidRDefault="00D448F4" w:rsidP="00A40E69">
      <w:pPr>
        <w:spacing w:line="276" w:lineRule="auto"/>
        <w:rPr>
          <w:rFonts w:asciiTheme="minorHAnsi" w:hAnsiTheme="minorHAnsi" w:cstheme="minorHAnsi"/>
          <w:sz w:val="22"/>
          <w:szCs w:val="22"/>
        </w:rPr>
      </w:pPr>
      <w:r w:rsidRPr="00540655">
        <w:rPr>
          <w:rFonts w:asciiTheme="minorHAnsi" w:hAnsiTheme="minorHAnsi" w:cstheme="minorHAnsi"/>
          <w:sz w:val="22"/>
          <w:szCs w:val="22"/>
        </w:rPr>
        <w:t xml:space="preserve">This resource, provided by the Office of the Regulator of Community Interest Companies, </w:t>
      </w:r>
      <w:r w:rsidR="005D0D92" w:rsidRPr="00540655">
        <w:rPr>
          <w:rFonts w:asciiTheme="minorHAnsi" w:hAnsiTheme="minorHAnsi" w:cstheme="minorHAnsi"/>
          <w:sz w:val="22"/>
          <w:szCs w:val="22"/>
        </w:rPr>
        <w:t xml:space="preserve">shares a webinar on whether the CIC model is the right choice for your organisation. It covers: </w:t>
      </w:r>
    </w:p>
    <w:p w14:paraId="22475540" w14:textId="77777777" w:rsidR="005D0D92" w:rsidRPr="00540655" w:rsidRDefault="005D0D92" w:rsidP="00A40E69">
      <w:pPr>
        <w:spacing w:line="276" w:lineRule="auto"/>
        <w:rPr>
          <w:rFonts w:asciiTheme="minorHAnsi" w:hAnsiTheme="minorHAnsi" w:cstheme="minorHAnsi"/>
          <w:sz w:val="22"/>
          <w:szCs w:val="22"/>
        </w:rPr>
      </w:pPr>
    </w:p>
    <w:p w14:paraId="67F9DEF2" w14:textId="77777777" w:rsidR="005D0D92" w:rsidRPr="00540655" w:rsidRDefault="005D0D92" w:rsidP="00402946">
      <w:pPr>
        <w:pStyle w:val="NoSpacing"/>
        <w:numPr>
          <w:ilvl w:val="0"/>
          <w:numId w:val="17"/>
        </w:numPr>
        <w:spacing w:line="276" w:lineRule="auto"/>
        <w:rPr>
          <w:rFonts w:cstheme="minorHAnsi"/>
          <w:sz w:val="22"/>
          <w:szCs w:val="22"/>
        </w:rPr>
      </w:pPr>
      <w:r w:rsidRPr="00540655">
        <w:rPr>
          <w:rFonts w:cstheme="minorHAnsi"/>
          <w:sz w:val="22"/>
          <w:szCs w:val="22"/>
        </w:rPr>
        <w:t>the Community Interest Company model</w:t>
      </w:r>
    </w:p>
    <w:p w14:paraId="77EAEB50" w14:textId="77777777" w:rsidR="005D0D92" w:rsidRPr="00540655" w:rsidRDefault="005D0D92" w:rsidP="00402946">
      <w:pPr>
        <w:pStyle w:val="NoSpacing"/>
        <w:numPr>
          <w:ilvl w:val="0"/>
          <w:numId w:val="17"/>
        </w:numPr>
        <w:spacing w:line="276" w:lineRule="auto"/>
        <w:rPr>
          <w:rFonts w:cstheme="minorHAnsi"/>
          <w:sz w:val="22"/>
          <w:szCs w:val="22"/>
        </w:rPr>
      </w:pPr>
      <w:r w:rsidRPr="00540655">
        <w:rPr>
          <w:rFonts w:cstheme="minorHAnsi"/>
          <w:sz w:val="22"/>
          <w:szCs w:val="22"/>
        </w:rPr>
        <w:t>what the benefits of the CIC model are</w:t>
      </w:r>
    </w:p>
    <w:p w14:paraId="0A525081" w14:textId="77777777" w:rsidR="005D0D92" w:rsidRPr="00540655" w:rsidRDefault="005D0D92" w:rsidP="00402946">
      <w:pPr>
        <w:pStyle w:val="NoSpacing"/>
        <w:numPr>
          <w:ilvl w:val="0"/>
          <w:numId w:val="17"/>
        </w:numPr>
        <w:spacing w:line="276" w:lineRule="auto"/>
        <w:rPr>
          <w:rFonts w:cstheme="minorHAnsi"/>
          <w:sz w:val="22"/>
          <w:szCs w:val="22"/>
        </w:rPr>
      </w:pPr>
      <w:r w:rsidRPr="00540655">
        <w:rPr>
          <w:rFonts w:cstheme="minorHAnsi"/>
          <w:sz w:val="22"/>
          <w:szCs w:val="22"/>
        </w:rPr>
        <w:t>what the difference is between a CIC and a Charity</w:t>
      </w:r>
    </w:p>
    <w:p w14:paraId="12E722AF" w14:textId="77777777" w:rsidR="005D0D92" w:rsidRPr="00540655" w:rsidRDefault="005D0D92" w:rsidP="00402946">
      <w:pPr>
        <w:pStyle w:val="NoSpacing"/>
        <w:numPr>
          <w:ilvl w:val="0"/>
          <w:numId w:val="17"/>
        </w:numPr>
        <w:spacing w:line="276" w:lineRule="auto"/>
        <w:rPr>
          <w:rFonts w:cstheme="minorHAnsi"/>
          <w:sz w:val="22"/>
          <w:szCs w:val="22"/>
        </w:rPr>
      </w:pPr>
      <w:r w:rsidRPr="00540655">
        <w:rPr>
          <w:rFonts w:cstheme="minorHAnsi"/>
          <w:sz w:val="22"/>
          <w:szCs w:val="22"/>
        </w:rPr>
        <w:t>what the difference is between a CIC and an ordinary limited company</w:t>
      </w:r>
    </w:p>
    <w:p w14:paraId="482A416E" w14:textId="77777777" w:rsidR="005D0D92" w:rsidRPr="00540655" w:rsidRDefault="005D0D92" w:rsidP="00402946">
      <w:pPr>
        <w:pStyle w:val="NoSpacing"/>
        <w:numPr>
          <w:ilvl w:val="0"/>
          <w:numId w:val="17"/>
        </w:numPr>
        <w:spacing w:line="276" w:lineRule="auto"/>
        <w:rPr>
          <w:rFonts w:cstheme="minorHAnsi"/>
          <w:sz w:val="22"/>
          <w:szCs w:val="22"/>
        </w:rPr>
      </w:pPr>
      <w:r w:rsidRPr="00540655">
        <w:rPr>
          <w:rFonts w:cstheme="minorHAnsi"/>
          <w:sz w:val="22"/>
          <w:szCs w:val="22"/>
        </w:rPr>
        <w:t>a brief overview of the application process</w:t>
      </w:r>
    </w:p>
    <w:p w14:paraId="181CF919" w14:textId="77777777" w:rsidR="005D0D92" w:rsidRPr="00540655" w:rsidRDefault="005D0D92" w:rsidP="00402946">
      <w:pPr>
        <w:pStyle w:val="NoSpacing"/>
        <w:numPr>
          <w:ilvl w:val="0"/>
          <w:numId w:val="17"/>
        </w:numPr>
        <w:spacing w:line="276" w:lineRule="auto"/>
        <w:rPr>
          <w:rFonts w:cstheme="minorHAnsi"/>
          <w:sz w:val="22"/>
          <w:szCs w:val="22"/>
        </w:rPr>
      </w:pPr>
      <w:r w:rsidRPr="00540655">
        <w:rPr>
          <w:rFonts w:cstheme="minorHAnsi"/>
          <w:sz w:val="22"/>
          <w:szCs w:val="22"/>
        </w:rPr>
        <w:t>your main governing document, the Articles of Association</w:t>
      </w:r>
    </w:p>
    <w:p w14:paraId="2A8CE948" w14:textId="77777777" w:rsidR="005D0D92" w:rsidRPr="004D6A0E" w:rsidRDefault="005D0D92" w:rsidP="00A40E69">
      <w:pPr>
        <w:spacing w:line="276" w:lineRule="auto"/>
        <w:rPr>
          <w:rFonts w:asciiTheme="minorHAnsi" w:hAnsiTheme="minorHAnsi" w:cstheme="minorHAnsi"/>
          <w:sz w:val="22"/>
          <w:szCs w:val="22"/>
        </w:rPr>
      </w:pPr>
    </w:p>
    <w:p w14:paraId="443BFF7D" w14:textId="70ACB455" w:rsidR="005D0D92" w:rsidRPr="004D6A0E" w:rsidRDefault="006E4D67" w:rsidP="00A40E69">
      <w:pPr>
        <w:spacing w:line="276" w:lineRule="auto"/>
        <w:rPr>
          <w:rFonts w:asciiTheme="minorHAnsi" w:hAnsiTheme="minorHAnsi" w:cstheme="minorHAnsi"/>
          <w:sz w:val="22"/>
          <w:szCs w:val="22"/>
        </w:rPr>
      </w:pPr>
      <w:hyperlink r:id="rId11" w:history="1">
        <w:r w:rsidR="00123751" w:rsidRPr="004D6A0E">
          <w:rPr>
            <w:rStyle w:val="Hyperlink"/>
            <w:rFonts w:asciiTheme="minorHAnsi" w:hAnsiTheme="minorHAnsi" w:cstheme="minorHAnsi"/>
            <w:color w:val="auto"/>
            <w:sz w:val="22"/>
            <w:szCs w:val="22"/>
          </w:rPr>
          <w:t>Full webinar here</w:t>
        </w:r>
      </w:hyperlink>
    </w:p>
    <w:p w14:paraId="7A3E0C1E" w14:textId="77777777" w:rsidR="00A5442D" w:rsidRDefault="00A5442D" w:rsidP="00A40E69">
      <w:pPr>
        <w:spacing w:line="276" w:lineRule="auto"/>
        <w:rPr>
          <w:rFonts w:ascii="Arial" w:hAnsi="Arial" w:cs="Arial"/>
        </w:rPr>
      </w:pPr>
    </w:p>
    <w:p w14:paraId="4518DA5E" w14:textId="70B052B1" w:rsidR="00A5442D" w:rsidRPr="004D6A0E" w:rsidRDefault="00A5442D" w:rsidP="004D6A0E">
      <w:pPr>
        <w:pStyle w:val="Heading2"/>
        <w:rPr>
          <w:b/>
          <w:bCs/>
          <w:color w:val="4472C4" w:themeColor="accent1"/>
        </w:rPr>
      </w:pPr>
      <w:r w:rsidRPr="004D6A0E">
        <w:rPr>
          <w:b/>
          <w:bCs/>
          <w:color w:val="4472C4" w:themeColor="accent1"/>
        </w:rPr>
        <w:t>Statutory Requirements of a Community Interest Company</w:t>
      </w:r>
    </w:p>
    <w:p w14:paraId="4695347E" w14:textId="51CD51DE" w:rsidR="00402946" w:rsidRPr="00540655" w:rsidRDefault="00A5442D" w:rsidP="00A40E69">
      <w:pPr>
        <w:spacing w:line="276" w:lineRule="auto"/>
        <w:rPr>
          <w:rFonts w:asciiTheme="minorHAnsi" w:hAnsiTheme="minorHAnsi" w:cstheme="minorHAnsi"/>
          <w:sz w:val="22"/>
          <w:szCs w:val="22"/>
        </w:rPr>
      </w:pPr>
      <w:r w:rsidRPr="00540655">
        <w:rPr>
          <w:rFonts w:asciiTheme="minorHAnsi" w:hAnsiTheme="minorHAnsi" w:cstheme="minorHAnsi"/>
          <w:sz w:val="22"/>
          <w:szCs w:val="22"/>
        </w:rPr>
        <w:t>The Department fo</w:t>
      </w:r>
      <w:r w:rsidR="006A0A12" w:rsidRPr="00540655">
        <w:rPr>
          <w:rFonts w:asciiTheme="minorHAnsi" w:hAnsiTheme="minorHAnsi" w:cstheme="minorHAnsi"/>
          <w:sz w:val="22"/>
          <w:szCs w:val="22"/>
        </w:rPr>
        <w:t>r</w:t>
      </w:r>
      <w:r w:rsidRPr="00540655">
        <w:rPr>
          <w:rFonts w:asciiTheme="minorHAnsi" w:hAnsiTheme="minorHAnsi" w:cstheme="minorHAnsi"/>
          <w:sz w:val="22"/>
          <w:szCs w:val="22"/>
        </w:rPr>
        <w:t xml:space="preserve"> Business, Energy and Industrial Strategy</w:t>
      </w:r>
      <w:r w:rsidR="001775BB" w:rsidRPr="00540655">
        <w:rPr>
          <w:rFonts w:asciiTheme="minorHAnsi" w:hAnsiTheme="minorHAnsi" w:cstheme="minorHAnsi"/>
          <w:sz w:val="22"/>
          <w:szCs w:val="22"/>
        </w:rPr>
        <w:t xml:space="preserve"> provides a</w:t>
      </w:r>
      <w:r w:rsidR="00E61C5C" w:rsidRPr="00540655">
        <w:rPr>
          <w:rFonts w:asciiTheme="minorHAnsi" w:hAnsiTheme="minorHAnsi" w:cstheme="minorHAnsi"/>
          <w:sz w:val="22"/>
          <w:szCs w:val="22"/>
        </w:rPr>
        <w:t>n overview of the statutory requirements of a Community Interest Company. The guidance covers:</w:t>
      </w:r>
    </w:p>
    <w:p w14:paraId="01AFF7C0" w14:textId="0A4F2C67" w:rsidR="00E61C5C" w:rsidRPr="00402946" w:rsidRDefault="00E61C5C" w:rsidP="00402946">
      <w:pPr>
        <w:pStyle w:val="ListParagraph"/>
        <w:numPr>
          <w:ilvl w:val="0"/>
          <w:numId w:val="18"/>
        </w:numPr>
        <w:spacing w:line="276" w:lineRule="auto"/>
        <w:rPr>
          <w:rFonts w:asciiTheme="minorHAnsi" w:hAnsiTheme="minorHAnsi" w:cstheme="minorHAnsi"/>
          <w:sz w:val="22"/>
          <w:szCs w:val="22"/>
        </w:rPr>
      </w:pPr>
      <w:r w:rsidRPr="00402946">
        <w:rPr>
          <w:rFonts w:asciiTheme="minorHAnsi" w:hAnsiTheme="minorHAnsi" w:cstheme="minorHAnsi"/>
          <w:sz w:val="22"/>
          <w:szCs w:val="22"/>
        </w:rPr>
        <w:t>Statutory obligations</w:t>
      </w:r>
    </w:p>
    <w:p w14:paraId="0094CED1" w14:textId="40E0F237" w:rsidR="00E61C5C" w:rsidRPr="00402946" w:rsidRDefault="00E61C5C" w:rsidP="00402946">
      <w:pPr>
        <w:pStyle w:val="ListParagraph"/>
        <w:numPr>
          <w:ilvl w:val="0"/>
          <w:numId w:val="18"/>
        </w:numPr>
        <w:spacing w:line="276" w:lineRule="auto"/>
        <w:rPr>
          <w:rFonts w:asciiTheme="minorHAnsi" w:hAnsiTheme="minorHAnsi" w:cstheme="minorHAnsi"/>
          <w:sz w:val="22"/>
          <w:szCs w:val="22"/>
        </w:rPr>
      </w:pPr>
      <w:r w:rsidRPr="00402946">
        <w:rPr>
          <w:rFonts w:asciiTheme="minorHAnsi" w:hAnsiTheme="minorHAnsi" w:cstheme="minorHAnsi"/>
          <w:sz w:val="22"/>
          <w:szCs w:val="22"/>
        </w:rPr>
        <w:t>Annual reporting requirements</w:t>
      </w:r>
    </w:p>
    <w:p w14:paraId="26F48B07" w14:textId="55C0EF90" w:rsidR="00E61C5C" w:rsidRPr="00402946" w:rsidRDefault="00D0236F" w:rsidP="00402946">
      <w:pPr>
        <w:pStyle w:val="ListParagraph"/>
        <w:numPr>
          <w:ilvl w:val="0"/>
          <w:numId w:val="18"/>
        </w:numPr>
        <w:spacing w:line="276" w:lineRule="auto"/>
        <w:rPr>
          <w:rFonts w:asciiTheme="minorHAnsi" w:hAnsiTheme="minorHAnsi" w:cstheme="minorHAnsi"/>
          <w:sz w:val="22"/>
          <w:szCs w:val="22"/>
        </w:rPr>
      </w:pPr>
      <w:r w:rsidRPr="00402946">
        <w:rPr>
          <w:rFonts w:asciiTheme="minorHAnsi" w:hAnsiTheme="minorHAnsi" w:cstheme="minorHAnsi"/>
          <w:sz w:val="22"/>
          <w:szCs w:val="22"/>
        </w:rPr>
        <w:lastRenderedPageBreak/>
        <w:t>Annual accounts</w:t>
      </w:r>
    </w:p>
    <w:p w14:paraId="27955553" w14:textId="585876FA" w:rsidR="00D0236F" w:rsidRPr="00402946" w:rsidRDefault="00D0236F" w:rsidP="00402946">
      <w:pPr>
        <w:pStyle w:val="ListParagraph"/>
        <w:numPr>
          <w:ilvl w:val="0"/>
          <w:numId w:val="18"/>
        </w:numPr>
        <w:spacing w:line="276" w:lineRule="auto"/>
        <w:rPr>
          <w:rFonts w:asciiTheme="minorHAnsi" w:hAnsiTheme="minorHAnsi" w:cstheme="minorHAnsi"/>
          <w:sz w:val="22"/>
          <w:szCs w:val="22"/>
        </w:rPr>
      </w:pPr>
      <w:r w:rsidRPr="00402946">
        <w:rPr>
          <w:rFonts w:asciiTheme="minorHAnsi" w:hAnsiTheme="minorHAnsi" w:cstheme="minorHAnsi"/>
          <w:sz w:val="22"/>
          <w:szCs w:val="22"/>
        </w:rPr>
        <w:t xml:space="preserve">CIC Reports </w:t>
      </w:r>
    </w:p>
    <w:p w14:paraId="2C97A748" w14:textId="73C5B22C" w:rsidR="00D0236F" w:rsidRPr="00402946" w:rsidRDefault="00D0236F" w:rsidP="00402946">
      <w:pPr>
        <w:pStyle w:val="ListParagraph"/>
        <w:numPr>
          <w:ilvl w:val="0"/>
          <w:numId w:val="18"/>
        </w:numPr>
        <w:spacing w:line="276" w:lineRule="auto"/>
        <w:rPr>
          <w:rFonts w:asciiTheme="minorHAnsi" w:hAnsiTheme="minorHAnsi" w:cstheme="minorHAnsi"/>
          <w:sz w:val="22"/>
          <w:szCs w:val="22"/>
        </w:rPr>
      </w:pPr>
      <w:r w:rsidRPr="00402946">
        <w:rPr>
          <w:rFonts w:asciiTheme="minorHAnsi" w:hAnsiTheme="minorHAnsi" w:cstheme="minorHAnsi"/>
          <w:sz w:val="22"/>
          <w:szCs w:val="22"/>
        </w:rPr>
        <w:t>Public benefit entities</w:t>
      </w:r>
    </w:p>
    <w:p w14:paraId="7E3D6D08" w14:textId="3F7E50B5" w:rsidR="00D0236F" w:rsidRPr="00402946" w:rsidRDefault="00D0236F" w:rsidP="00402946">
      <w:pPr>
        <w:pStyle w:val="ListParagraph"/>
        <w:numPr>
          <w:ilvl w:val="0"/>
          <w:numId w:val="18"/>
        </w:numPr>
        <w:spacing w:line="276" w:lineRule="auto"/>
        <w:rPr>
          <w:rFonts w:asciiTheme="minorHAnsi" w:hAnsiTheme="minorHAnsi" w:cstheme="minorHAnsi"/>
          <w:sz w:val="22"/>
          <w:szCs w:val="22"/>
        </w:rPr>
      </w:pPr>
      <w:r w:rsidRPr="00402946">
        <w:rPr>
          <w:rFonts w:asciiTheme="minorHAnsi" w:hAnsiTheme="minorHAnsi" w:cstheme="minorHAnsi"/>
          <w:sz w:val="22"/>
          <w:szCs w:val="22"/>
        </w:rPr>
        <w:t>Confirmation statement</w:t>
      </w:r>
    </w:p>
    <w:p w14:paraId="3257A3D7" w14:textId="5681BD97" w:rsidR="00D0236F" w:rsidRPr="00402946" w:rsidRDefault="00D0236F" w:rsidP="00402946">
      <w:pPr>
        <w:pStyle w:val="ListParagraph"/>
        <w:numPr>
          <w:ilvl w:val="0"/>
          <w:numId w:val="18"/>
        </w:numPr>
        <w:spacing w:line="276" w:lineRule="auto"/>
        <w:rPr>
          <w:rFonts w:asciiTheme="minorHAnsi" w:hAnsiTheme="minorHAnsi" w:cstheme="minorHAnsi"/>
          <w:sz w:val="22"/>
          <w:szCs w:val="22"/>
        </w:rPr>
      </w:pPr>
      <w:r w:rsidRPr="00402946">
        <w:rPr>
          <w:rFonts w:asciiTheme="minorHAnsi" w:hAnsiTheme="minorHAnsi" w:cstheme="minorHAnsi"/>
          <w:sz w:val="22"/>
          <w:szCs w:val="22"/>
        </w:rPr>
        <w:t xml:space="preserve">Changing a registered office, </w:t>
      </w:r>
      <w:proofErr w:type="gramStart"/>
      <w:r w:rsidRPr="00402946">
        <w:rPr>
          <w:rFonts w:asciiTheme="minorHAnsi" w:hAnsiTheme="minorHAnsi" w:cstheme="minorHAnsi"/>
          <w:sz w:val="22"/>
          <w:szCs w:val="22"/>
        </w:rPr>
        <w:t>directors</w:t>
      </w:r>
      <w:proofErr w:type="gramEnd"/>
      <w:r w:rsidRPr="00402946">
        <w:rPr>
          <w:rFonts w:asciiTheme="minorHAnsi" w:hAnsiTheme="minorHAnsi" w:cstheme="minorHAnsi"/>
          <w:sz w:val="22"/>
          <w:szCs w:val="22"/>
        </w:rPr>
        <w:t xml:space="preserve"> or other obligations</w:t>
      </w:r>
    </w:p>
    <w:p w14:paraId="44188503" w14:textId="77777777" w:rsidR="00A5442D" w:rsidRPr="00540655" w:rsidRDefault="00A5442D" w:rsidP="00A40E69">
      <w:pPr>
        <w:spacing w:line="276" w:lineRule="auto"/>
        <w:rPr>
          <w:rFonts w:asciiTheme="minorHAnsi" w:hAnsiTheme="minorHAnsi" w:cstheme="minorHAnsi"/>
          <w:b/>
          <w:bCs/>
          <w:u w:val="single"/>
        </w:rPr>
      </w:pPr>
    </w:p>
    <w:p w14:paraId="346B28E2" w14:textId="69F79573" w:rsidR="00A5442D" w:rsidRDefault="006E4D67" w:rsidP="00A40E69">
      <w:pPr>
        <w:spacing w:line="276" w:lineRule="auto"/>
        <w:rPr>
          <w:rStyle w:val="Hyperlink"/>
          <w:rFonts w:asciiTheme="minorHAnsi" w:hAnsiTheme="minorHAnsi" w:cstheme="minorHAnsi"/>
          <w:color w:val="auto"/>
          <w:sz w:val="22"/>
          <w:szCs w:val="22"/>
        </w:rPr>
      </w:pPr>
      <w:hyperlink r:id="rId12" w:history="1">
        <w:r w:rsidR="00A5442D" w:rsidRPr="004D6A0E">
          <w:rPr>
            <w:rStyle w:val="Hyperlink"/>
            <w:rFonts w:asciiTheme="minorHAnsi" w:hAnsiTheme="minorHAnsi" w:cstheme="minorHAnsi"/>
            <w:color w:val="auto"/>
            <w:sz w:val="22"/>
            <w:szCs w:val="22"/>
          </w:rPr>
          <w:t>Full resource here</w:t>
        </w:r>
      </w:hyperlink>
    </w:p>
    <w:p w14:paraId="4A6EA12B" w14:textId="77777777" w:rsidR="004D6A0E" w:rsidRPr="004D6A0E" w:rsidRDefault="004D6A0E" w:rsidP="00A40E69">
      <w:pPr>
        <w:spacing w:line="276" w:lineRule="auto"/>
        <w:rPr>
          <w:rFonts w:asciiTheme="minorHAnsi" w:hAnsiTheme="minorHAnsi" w:cstheme="minorHAnsi"/>
          <w:sz w:val="22"/>
          <w:szCs w:val="22"/>
          <w:u w:val="single"/>
        </w:rPr>
      </w:pPr>
    </w:p>
    <w:p w14:paraId="3813C1F6" w14:textId="77777777" w:rsidR="00DA4D3B" w:rsidRPr="004D6A0E" w:rsidRDefault="00DA4D3B" w:rsidP="004D6A0E">
      <w:pPr>
        <w:pStyle w:val="Heading2"/>
        <w:rPr>
          <w:b/>
          <w:bCs/>
          <w:color w:val="4472C4" w:themeColor="accent1"/>
        </w:rPr>
      </w:pPr>
      <w:r w:rsidRPr="004D6A0E">
        <w:rPr>
          <w:b/>
          <w:bCs/>
          <w:color w:val="4472C4" w:themeColor="accent1"/>
        </w:rPr>
        <w:t>Understanding Social Enterprise</w:t>
      </w:r>
    </w:p>
    <w:p w14:paraId="6904D088" w14:textId="77777777" w:rsidR="00DA4D3B" w:rsidRPr="00540655" w:rsidRDefault="00DA4D3B" w:rsidP="00A40E69">
      <w:pPr>
        <w:tabs>
          <w:tab w:val="num" w:pos="720"/>
        </w:tabs>
        <w:spacing w:line="276" w:lineRule="auto"/>
        <w:rPr>
          <w:rFonts w:asciiTheme="minorHAnsi" w:hAnsiTheme="minorHAnsi" w:cstheme="minorHAnsi"/>
          <w:sz w:val="22"/>
          <w:szCs w:val="22"/>
        </w:rPr>
      </w:pPr>
      <w:r w:rsidRPr="00540655">
        <w:rPr>
          <w:rFonts w:asciiTheme="minorHAnsi" w:hAnsiTheme="minorHAnsi" w:cstheme="minorHAnsi"/>
          <w:sz w:val="22"/>
          <w:szCs w:val="22"/>
        </w:rPr>
        <w:t xml:space="preserve">The NCVO guidance on social enterprises, looks at: </w:t>
      </w:r>
    </w:p>
    <w:p w14:paraId="78C0ED42" w14:textId="77777777" w:rsidR="00DA4D3B" w:rsidRPr="00540655" w:rsidRDefault="00DA4D3B" w:rsidP="00402946">
      <w:pPr>
        <w:pStyle w:val="ListParagraph"/>
        <w:numPr>
          <w:ilvl w:val="0"/>
          <w:numId w:val="19"/>
        </w:numPr>
        <w:spacing w:line="276" w:lineRule="auto"/>
        <w:rPr>
          <w:rFonts w:asciiTheme="minorHAnsi" w:hAnsiTheme="minorHAnsi" w:cstheme="minorHAnsi"/>
          <w:sz w:val="22"/>
          <w:szCs w:val="22"/>
        </w:rPr>
      </w:pPr>
      <w:r w:rsidRPr="00540655">
        <w:rPr>
          <w:rFonts w:asciiTheme="minorHAnsi" w:hAnsiTheme="minorHAnsi" w:cstheme="minorHAnsi"/>
          <w:sz w:val="22"/>
          <w:szCs w:val="22"/>
        </w:rPr>
        <w:t>The definition of a social enterprise</w:t>
      </w:r>
    </w:p>
    <w:p w14:paraId="1C5B06D9" w14:textId="77777777" w:rsidR="00DA4D3B" w:rsidRPr="00540655" w:rsidRDefault="00DA4D3B" w:rsidP="00402946">
      <w:pPr>
        <w:pStyle w:val="ListParagraph"/>
        <w:numPr>
          <w:ilvl w:val="0"/>
          <w:numId w:val="19"/>
        </w:numPr>
        <w:spacing w:line="276" w:lineRule="auto"/>
        <w:rPr>
          <w:rFonts w:asciiTheme="minorHAnsi" w:hAnsiTheme="minorHAnsi" w:cstheme="minorHAnsi"/>
          <w:sz w:val="22"/>
          <w:szCs w:val="22"/>
        </w:rPr>
      </w:pPr>
      <w:r w:rsidRPr="00540655">
        <w:rPr>
          <w:rFonts w:asciiTheme="minorHAnsi" w:hAnsiTheme="minorHAnsi" w:cstheme="minorHAnsi"/>
          <w:sz w:val="22"/>
          <w:szCs w:val="22"/>
        </w:rPr>
        <w:t>Legal structures</w:t>
      </w:r>
    </w:p>
    <w:p w14:paraId="6B226EB3" w14:textId="77777777" w:rsidR="00DA4D3B" w:rsidRPr="00540655" w:rsidRDefault="00DA4D3B" w:rsidP="00402946">
      <w:pPr>
        <w:pStyle w:val="ListParagraph"/>
        <w:numPr>
          <w:ilvl w:val="0"/>
          <w:numId w:val="19"/>
        </w:numPr>
        <w:spacing w:line="276" w:lineRule="auto"/>
        <w:rPr>
          <w:rFonts w:asciiTheme="minorHAnsi" w:hAnsiTheme="minorHAnsi" w:cstheme="minorHAnsi"/>
          <w:sz w:val="22"/>
          <w:szCs w:val="22"/>
        </w:rPr>
      </w:pPr>
      <w:r w:rsidRPr="00540655">
        <w:rPr>
          <w:rFonts w:asciiTheme="minorHAnsi" w:hAnsiTheme="minorHAnsi" w:cstheme="minorHAnsi"/>
          <w:sz w:val="22"/>
          <w:szCs w:val="22"/>
        </w:rPr>
        <w:t>Examples of best practice</w:t>
      </w:r>
    </w:p>
    <w:p w14:paraId="22FDA7E3" w14:textId="77777777" w:rsidR="00DA4D3B" w:rsidRPr="00540655" w:rsidRDefault="00DA4D3B" w:rsidP="00402946">
      <w:pPr>
        <w:pStyle w:val="ListParagraph"/>
        <w:numPr>
          <w:ilvl w:val="0"/>
          <w:numId w:val="19"/>
        </w:numPr>
        <w:spacing w:line="276" w:lineRule="auto"/>
        <w:rPr>
          <w:rFonts w:asciiTheme="minorHAnsi" w:hAnsiTheme="minorHAnsi" w:cstheme="minorHAnsi"/>
          <w:sz w:val="22"/>
          <w:szCs w:val="22"/>
        </w:rPr>
      </w:pPr>
      <w:r w:rsidRPr="00540655">
        <w:rPr>
          <w:rFonts w:asciiTheme="minorHAnsi" w:hAnsiTheme="minorHAnsi" w:cstheme="minorHAnsi"/>
          <w:sz w:val="22"/>
          <w:szCs w:val="22"/>
        </w:rPr>
        <w:t>Guidance and advice</w:t>
      </w:r>
    </w:p>
    <w:p w14:paraId="781E87A7" w14:textId="77777777" w:rsidR="00DA4D3B" w:rsidRPr="00540655" w:rsidRDefault="00DA4D3B" w:rsidP="00A40E69">
      <w:pPr>
        <w:tabs>
          <w:tab w:val="num" w:pos="720"/>
        </w:tabs>
        <w:spacing w:line="276" w:lineRule="auto"/>
        <w:rPr>
          <w:rFonts w:asciiTheme="minorHAnsi" w:hAnsiTheme="minorHAnsi" w:cstheme="minorHAnsi"/>
          <w:sz w:val="22"/>
          <w:szCs w:val="22"/>
        </w:rPr>
      </w:pPr>
    </w:p>
    <w:p w14:paraId="464709DA" w14:textId="097D5C5F" w:rsidR="00DA4D3B" w:rsidRPr="00540655" w:rsidRDefault="00DA4D3B" w:rsidP="00A40E69">
      <w:pPr>
        <w:pStyle w:val="NormalWeb"/>
        <w:spacing w:before="0" w:beforeAutospacing="0" w:after="0" w:afterAutospacing="0" w:line="276" w:lineRule="auto"/>
        <w:rPr>
          <w:rFonts w:asciiTheme="minorHAnsi" w:hAnsiTheme="minorHAnsi" w:cstheme="minorHAnsi"/>
          <w:sz w:val="22"/>
          <w:szCs w:val="22"/>
        </w:rPr>
      </w:pPr>
      <w:r w:rsidRPr="00540655">
        <w:rPr>
          <w:rFonts w:asciiTheme="minorHAnsi" w:hAnsiTheme="minorHAnsi" w:cstheme="minorHAnsi"/>
          <w:sz w:val="22"/>
          <w:szCs w:val="22"/>
        </w:rPr>
        <w:t>According to the resource, it states that a social enterprise is not a legal structure but a way of doing business. The exact definition can vary:</w:t>
      </w:r>
    </w:p>
    <w:p w14:paraId="2E51D786" w14:textId="77777777" w:rsidR="00DA4D3B" w:rsidRPr="00EF3871" w:rsidRDefault="00DA4D3B" w:rsidP="00EF3871">
      <w:pPr>
        <w:pStyle w:val="ListParagraph"/>
        <w:numPr>
          <w:ilvl w:val="0"/>
          <w:numId w:val="20"/>
        </w:numPr>
        <w:spacing w:line="276" w:lineRule="auto"/>
        <w:rPr>
          <w:rFonts w:asciiTheme="minorHAnsi" w:hAnsiTheme="minorHAnsi" w:cstheme="minorHAnsi"/>
          <w:sz w:val="22"/>
          <w:szCs w:val="22"/>
        </w:rPr>
      </w:pPr>
      <w:r w:rsidRPr="00EF3871">
        <w:rPr>
          <w:rFonts w:asciiTheme="minorHAnsi" w:hAnsiTheme="minorHAnsi" w:cstheme="minorHAnsi"/>
          <w:sz w:val="22"/>
          <w:szCs w:val="22"/>
        </w:rPr>
        <w:t xml:space="preserve">Social enterprises are focused on their mission and exist to tackle social or environmental issues set out in their governing </w:t>
      </w:r>
      <w:proofErr w:type="gramStart"/>
      <w:r w:rsidRPr="00EF3871">
        <w:rPr>
          <w:rFonts w:asciiTheme="minorHAnsi" w:hAnsiTheme="minorHAnsi" w:cstheme="minorHAnsi"/>
          <w:sz w:val="22"/>
          <w:szCs w:val="22"/>
        </w:rPr>
        <w:t>document</w:t>
      </w:r>
      <w:proofErr w:type="gramEnd"/>
    </w:p>
    <w:p w14:paraId="14C5F5AA" w14:textId="77777777" w:rsidR="00DA4D3B" w:rsidRPr="00EF3871" w:rsidRDefault="00DA4D3B" w:rsidP="00EF3871">
      <w:pPr>
        <w:pStyle w:val="ListParagraph"/>
        <w:numPr>
          <w:ilvl w:val="0"/>
          <w:numId w:val="20"/>
        </w:numPr>
        <w:spacing w:before="120" w:line="276" w:lineRule="auto"/>
        <w:rPr>
          <w:rFonts w:asciiTheme="minorHAnsi" w:hAnsiTheme="minorHAnsi" w:cstheme="minorHAnsi"/>
          <w:sz w:val="22"/>
          <w:szCs w:val="22"/>
        </w:rPr>
      </w:pPr>
      <w:r w:rsidRPr="00EF3871">
        <w:rPr>
          <w:rFonts w:asciiTheme="minorHAnsi" w:hAnsiTheme="minorHAnsi" w:cstheme="minorHAnsi"/>
          <w:sz w:val="22"/>
          <w:szCs w:val="22"/>
        </w:rPr>
        <w:t xml:space="preserve">Social enterprises re-invest the majority of their profits in pursuit of their </w:t>
      </w:r>
      <w:proofErr w:type="gramStart"/>
      <w:r w:rsidRPr="00EF3871">
        <w:rPr>
          <w:rFonts w:asciiTheme="minorHAnsi" w:hAnsiTheme="minorHAnsi" w:cstheme="minorHAnsi"/>
          <w:sz w:val="22"/>
          <w:szCs w:val="22"/>
        </w:rPr>
        <w:t>mission</w:t>
      </w:r>
      <w:proofErr w:type="gramEnd"/>
    </w:p>
    <w:p w14:paraId="096E4743" w14:textId="77777777" w:rsidR="00DA4D3B" w:rsidRPr="00EF3871" w:rsidRDefault="00DA4D3B" w:rsidP="00EF3871">
      <w:pPr>
        <w:pStyle w:val="ListParagraph"/>
        <w:numPr>
          <w:ilvl w:val="0"/>
          <w:numId w:val="20"/>
        </w:numPr>
        <w:spacing w:before="120" w:line="276" w:lineRule="auto"/>
        <w:rPr>
          <w:rFonts w:asciiTheme="minorHAnsi" w:hAnsiTheme="minorHAnsi" w:cstheme="minorHAnsi"/>
          <w:sz w:val="22"/>
          <w:szCs w:val="22"/>
        </w:rPr>
      </w:pPr>
      <w:r w:rsidRPr="00EF3871">
        <w:rPr>
          <w:rFonts w:asciiTheme="minorHAnsi" w:hAnsiTheme="minorHAnsi" w:cstheme="minorHAnsi"/>
          <w:sz w:val="22"/>
          <w:szCs w:val="22"/>
        </w:rPr>
        <w:t xml:space="preserve">Social enterprises aim to get </w:t>
      </w:r>
      <w:proofErr w:type="gramStart"/>
      <w:r w:rsidRPr="00EF3871">
        <w:rPr>
          <w:rFonts w:asciiTheme="minorHAnsi" w:hAnsiTheme="minorHAnsi" w:cstheme="minorHAnsi"/>
          <w:sz w:val="22"/>
          <w:szCs w:val="22"/>
        </w:rPr>
        <w:t>the majority of</w:t>
      </w:r>
      <w:proofErr w:type="gramEnd"/>
      <w:r w:rsidRPr="00EF3871">
        <w:rPr>
          <w:rFonts w:asciiTheme="minorHAnsi" w:hAnsiTheme="minorHAnsi" w:cstheme="minorHAnsi"/>
          <w:sz w:val="22"/>
          <w:szCs w:val="22"/>
        </w:rPr>
        <w:t xml:space="preserve"> their income needed to operate from trade.</w:t>
      </w:r>
    </w:p>
    <w:p w14:paraId="66B09A46" w14:textId="77777777" w:rsidR="00DA4D3B" w:rsidRPr="004D6A0E" w:rsidRDefault="00DA4D3B" w:rsidP="00A40E69">
      <w:pPr>
        <w:tabs>
          <w:tab w:val="num" w:pos="720"/>
        </w:tabs>
        <w:spacing w:line="276" w:lineRule="auto"/>
        <w:rPr>
          <w:rFonts w:asciiTheme="minorHAnsi" w:hAnsiTheme="minorHAnsi" w:cstheme="minorHAnsi"/>
          <w:sz w:val="22"/>
          <w:szCs w:val="22"/>
        </w:rPr>
      </w:pPr>
    </w:p>
    <w:p w14:paraId="201B4D78" w14:textId="77777777" w:rsidR="00DA4D3B" w:rsidRPr="004D6A0E" w:rsidRDefault="006E4D67" w:rsidP="00A40E69">
      <w:pPr>
        <w:tabs>
          <w:tab w:val="num" w:pos="720"/>
        </w:tabs>
        <w:spacing w:line="276" w:lineRule="auto"/>
        <w:rPr>
          <w:rFonts w:asciiTheme="minorHAnsi" w:hAnsiTheme="minorHAnsi" w:cstheme="minorHAnsi"/>
          <w:sz w:val="22"/>
          <w:szCs w:val="22"/>
        </w:rPr>
      </w:pPr>
      <w:hyperlink r:id="rId13" w:history="1">
        <w:r w:rsidR="00DA4D3B" w:rsidRPr="004D6A0E">
          <w:rPr>
            <w:rStyle w:val="Hyperlink"/>
            <w:rFonts w:asciiTheme="minorHAnsi" w:hAnsiTheme="minorHAnsi" w:cstheme="minorHAnsi"/>
            <w:color w:val="auto"/>
            <w:sz w:val="22"/>
            <w:szCs w:val="22"/>
          </w:rPr>
          <w:t>Full resource here</w:t>
        </w:r>
      </w:hyperlink>
    </w:p>
    <w:p w14:paraId="5277A67F" w14:textId="77777777" w:rsidR="00DA4D3B" w:rsidRDefault="00DA4D3B" w:rsidP="00A40E69">
      <w:pPr>
        <w:tabs>
          <w:tab w:val="num" w:pos="720"/>
        </w:tabs>
        <w:spacing w:line="276" w:lineRule="auto"/>
        <w:rPr>
          <w:rFonts w:ascii="Arial" w:hAnsi="Arial" w:cs="Arial"/>
        </w:rPr>
      </w:pPr>
    </w:p>
    <w:p w14:paraId="533B2EED" w14:textId="77777777" w:rsidR="00DA4D3B" w:rsidRPr="004D6A0E" w:rsidRDefault="00DA4D3B" w:rsidP="004D6A0E">
      <w:pPr>
        <w:pStyle w:val="Heading2"/>
        <w:rPr>
          <w:b/>
          <w:bCs/>
          <w:color w:val="4472C4" w:themeColor="accent1"/>
        </w:rPr>
      </w:pPr>
      <w:r w:rsidRPr="004D6A0E">
        <w:rPr>
          <w:b/>
          <w:bCs/>
          <w:color w:val="4472C4" w:themeColor="accent1"/>
        </w:rPr>
        <w:t xml:space="preserve">Managing a Social Enterprise </w:t>
      </w:r>
    </w:p>
    <w:p w14:paraId="20841D4E" w14:textId="77777777" w:rsidR="00DA4D3B" w:rsidRPr="00540655" w:rsidRDefault="00DA4D3B" w:rsidP="00A40E69">
      <w:pPr>
        <w:tabs>
          <w:tab w:val="num" w:pos="720"/>
        </w:tabs>
        <w:spacing w:line="276" w:lineRule="auto"/>
        <w:rPr>
          <w:rFonts w:asciiTheme="minorHAnsi" w:hAnsiTheme="minorHAnsi" w:cstheme="minorHAnsi"/>
          <w:sz w:val="22"/>
          <w:szCs w:val="22"/>
        </w:rPr>
      </w:pPr>
      <w:r w:rsidRPr="00540655">
        <w:rPr>
          <w:rFonts w:asciiTheme="minorHAnsi" w:hAnsiTheme="minorHAnsi" w:cstheme="minorHAnsi"/>
          <w:sz w:val="22"/>
          <w:szCs w:val="22"/>
        </w:rPr>
        <w:t>See Ahead provides detailed guidance on how to manage a social enterprise, including:</w:t>
      </w:r>
    </w:p>
    <w:p w14:paraId="0764FFB3" w14:textId="77777777" w:rsidR="00DA4D3B" w:rsidRPr="00EF3871" w:rsidRDefault="00DA4D3B" w:rsidP="00EF3871">
      <w:pPr>
        <w:pStyle w:val="ListParagraph"/>
        <w:numPr>
          <w:ilvl w:val="0"/>
          <w:numId w:val="21"/>
        </w:numPr>
        <w:tabs>
          <w:tab w:val="num" w:pos="720"/>
        </w:tabs>
        <w:spacing w:line="276" w:lineRule="auto"/>
        <w:rPr>
          <w:rFonts w:asciiTheme="minorHAnsi" w:hAnsiTheme="minorHAnsi" w:cstheme="minorHAnsi"/>
          <w:sz w:val="22"/>
          <w:szCs w:val="22"/>
        </w:rPr>
      </w:pPr>
      <w:r w:rsidRPr="00EF3871">
        <w:rPr>
          <w:rFonts w:asciiTheme="minorHAnsi" w:hAnsiTheme="minorHAnsi" w:cstheme="minorHAnsi"/>
          <w:sz w:val="22"/>
          <w:szCs w:val="22"/>
        </w:rPr>
        <w:t>The role of the Board of Directors</w:t>
      </w:r>
    </w:p>
    <w:p w14:paraId="48B218A5" w14:textId="77777777" w:rsidR="00DA4D3B" w:rsidRPr="00EF3871" w:rsidRDefault="00DA4D3B" w:rsidP="00EF3871">
      <w:pPr>
        <w:pStyle w:val="ListParagraph"/>
        <w:numPr>
          <w:ilvl w:val="0"/>
          <w:numId w:val="21"/>
        </w:numPr>
        <w:tabs>
          <w:tab w:val="num" w:pos="720"/>
        </w:tabs>
        <w:spacing w:line="276" w:lineRule="auto"/>
        <w:rPr>
          <w:rFonts w:asciiTheme="minorHAnsi" w:hAnsiTheme="minorHAnsi" w:cstheme="minorHAnsi"/>
          <w:sz w:val="22"/>
          <w:szCs w:val="22"/>
        </w:rPr>
      </w:pPr>
      <w:r w:rsidRPr="00EF3871">
        <w:rPr>
          <w:rFonts w:asciiTheme="minorHAnsi" w:hAnsiTheme="minorHAnsi" w:cstheme="minorHAnsi"/>
          <w:sz w:val="22"/>
          <w:szCs w:val="22"/>
        </w:rPr>
        <w:t xml:space="preserve">The role of individuals </w:t>
      </w:r>
    </w:p>
    <w:p w14:paraId="736848A1" w14:textId="77777777" w:rsidR="00DA4D3B" w:rsidRPr="00EF3871" w:rsidRDefault="00DA4D3B" w:rsidP="00EF3871">
      <w:pPr>
        <w:pStyle w:val="ListParagraph"/>
        <w:numPr>
          <w:ilvl w:val="0"/>
          <w:numId w:val="21"/>
        </w:numPr>
        <w:tabs>
          <w:tab w:val="num" w:pos="720"/>
        </w:tabs>
        <w:spacing w:line="276" w:lineRule="auto"/>
        <w:rPr>
          <w:rFonts w:asciiTheme="minorHAnsi" w:hAnsiTheme="minorHAnsi" w:cstheme="minorHAnsi"/>
          <w:sz w:val="22"/>
          <w:szCs w:val="22"/>
        </w:rPr>
      </w:pPr>
      <w:r w:rsidRPr="00EF3871">
        <w:rPr>
          <w:rFonts w:asciiTheme="minorHAnsi" w:hAnsiTheme="minorHAnsi" w:cstheme="minorHAnsi"/>
          <w:sz w:val="22"/>
          <w:szCs w:val="22"/>
        </w:rPr>
        <w:t xml:space="preserve">Officer Roles </w:t>
      </w:r>
    </w:p>
    <w:p w14:paraId="02B74EC4" w14:textId="77777777" w:rsidR="00DA4D3B" w:rsidRPr="00EF3871" w:rsidRDefault="00DA4D3B" w:rsidP="00EF3871">
      <w:pPr>
        <w:pStyle w:val="ListParagraph"/>
        <w:numPr>
          <w:ilvl w:val="0"/>
          <w:numId w:val="21"/>
        </w:numPr>
        <w:tabs>
          <w:tab w:val="num" w:pos="720"/>
        </w:tabs>
        <w:spacing w:line="276" w:lineRule="auto"/>
        <w:rPr>
          <w:rFonts w:asciiTheme="minorHAnsi" w:hAnsiTheme="minorHAnsi" w:cstheme="minorHAnsi"/>
          <w:sz w:val="22"/>
          <w:szCs w:val="22"/>
        </w:rPr>
      </w:pPr>
      <w:r w:rsidRPr="00EF3871">
        <w:rPr>
          <w:rFonts w:asciiTheme="minorHAnsi" w:hAnsiTheme="minorHAnsi" w:cstheme="minorHAnsi"/>
          <w:sz w:val="22"/>
          <w:szCs w:val="22"/>
        </w:rPr>
        <w:t xml:space="preserve">Liabilities and Accountability </w:t>
      </w:r>
    </w:p>
    <w:p w14:paraId="4D55557F" w14:textId="77777777" w:rsidR="00DA4D3B" w:rsidRPr="00EF3871" w:rsidRDefault="00DA4D3B" w:rsidP="00EF3871">
      <w:pPr>
        <w:pStyle w:val="ListParagraph"/>
        <w:numPr>
          <w:ilvl w:val="0"/>
          <w:numId w:val="21"/>
        </w:numPr>
        <w:tabs>
          <w:tab w:val="num" w:pos="720"/>
        </w:tabs>
        <w:spacing w:line="276" w:lineRule="auto"/>
        <w:rPr>
          <w:rFonts w:asciiTheme="minorHAnsi" w:hAnsiTheme="minorHAnsi" w:cstheme="minorHAnsi"/>
          <w:sz w:val="22"/>
          <w:szCs w:val="22"/>
        </w:rPr>
      </w:pPr>
      <w:r w:rsidRPr="00EF3871">
        <w:rPr>
          <w:rFonts w:asciiTheme="minorHAnsi" w:hAnsiTheme="minorHAnsi" w:cstheme="minorHAnsi"/>
          <w:sz w:val="22"/>
          <w:szCs w:val="22"/>
        </w:rPr>
        <w:t>Developing the Board</w:t>
      </w:r>
    </w:p>
    <w:p w14:paraId="5DBDCDFE" w14:textId="77777777" w:rsidR="00DA4D3B" w:rsidRPr="00EF3871" w:rsidRDefault="00DA4D3B" w:rsidP="00EF3871">
      <w:pPr>
        <w:pStyle w:val="ListParagraph"/>
        <w:numPr>
          <w:ilvl w:val="0"/>
          <w:numId w:val="21"/>
        </w:numPr>
        <w:tabs>
          <w:tab w:val="num" w:pos="720"/>
        </w:tabs>
        <w:spacing w:line="276" w:lineRule="auto"/>
        <w:rPr>
          <w:rFonts w:asciiTheme="minorHAnsi" w:hAnsiTheme="minorHAnsi" w:cstheme="minorHAnsi"/>
          <w:sz w:val="22"/>
          <w:szCs w:val="22"/>
        </w:rPr>
      </w:pPr>
      <w:r w:rsidRPr="00EF3871">
        <w:rPr>
          <w:rFonts w:asciiTheme="minorHAnsi" w:hAnsiTheme="minorHAnsi" w:cstheme="minorHAnsi"/>
          <w:sz w:val="22"/>
          <w:szCs w:val="22"/>
        </w:rPr>
        <w:t>Managing a meeting</w:t>
      </w:r>
    </w:p>
    <w:p w14:paraId="5594667C" w14:textId="77777777" w:rsidR="00DA4D3B" w:rsidRPr="004D6A0E" w:rsidRDefault="00DA4D3B" w:rsidP="00A40E69">
      <w:pPr>
        <w:tabs>
          <w:tab w:val="num" w:pos="720"/>
        </w:tabs>
        <w:spacing w:line="276" w:lineRule="auto"/>
        <w:rPr>
          <w:rFonts w:asciiTheme="minorHAnsi" w:hAnsiTheme="minorHAnsi" w:cstheme="minorHAnsi"/>
          <w:sz w:val="22"/>
          <w:szCs w:val="22"/>
        </w:rPr>
      </w:pPr>
    </w:p>
    <w:p w14:paraId="392C7B63" w14:textId="77777777" w:rsidR="00DA4D3B" w:rsidRPr="004D6A0E" w:rsidRDefault="006E4D67" w:rsidP="00A40E69">
      <w:pPr>
        <w:tabs>
          <w:tab w:val="num" w:pos="720"/>
        </w:tabs>
        <w:spacing w:line="276" w:lineRule="auto"/>
        <w:rPr>
          <w:rFonts w:asciiTheme="minorHAnsi" w:hAnsiTheme="minorHAnsi" w:cstheme="minorHAnsi"/>
          <w:sz w:val="22"/>
          <w:szCs w:val="22"/>
        </w:rPr>
      </w:pPr>
      <w:hyperlink r:id="rId14" w:history="1">
        <w:r w:rsidR="00DA4D3B" w:rsidRPr="004D6A0E">
          <w:rPr>
            <w:rStyle w:val="Hyperlink"/>
            <w:rFonts w:asciiTheme="minorHAnsi" w:hAnsiTheme="minorHAnsi" w:cstheme="minorHAnsi"/>
            <w:color w:val="auto"/>
            <w:sz w:val="22"/>
            <w:szCs w:val="22"/>
          </w:rPr>
          <w:t>Full resource here</w:t>
        </w:r>
      </w:hyperlink>
    </w:p>
    <w:p w14:paraId="3D62EF9C" w14:textId="77777777" w:rsidR="00D448F4" w:rsidRDefault="00D448F4" w:rsidP="00A40E69">
      <w:pPr>
        <w:spacing w:line="276" w:lineRule="auto"/>
        <w:rPr>
          <w:rFonts w:ascii="Arial" w:hAnsi="Arial" w:cs="Arial"/>
          <w:b/>
          <w:bCs/>
          <w:sz w:val="28"/>
          <w:szCs w:val="28"/>
          <w:u w:val="single"/>
        </w:rPr>
      </w:pPr>
    </w:p>
    <w:p w14:paraId="30D6CB11" w14:textId="7B9A9DA3" w:rsidR="00BC69E1" w:rsidRPr="004D6A0E" w:rsidRDefault="008C6104" w:rsidP="004D6A0E">
      <w:pPr>
        <w:pStyle w:val="Heading2"/>
        <w:rPr>
          <w:b/>
          <w:bCs/>
          <w:color w:val="4472C4" w:themeColor="accent1"/>
        </w:rPr>
      </w:pPr>
      <w:r w:rsidRPr="004D6A0E">
        <w:rPr>
          <w:b/>
          <w:bCs/>
          <w:color w:val="4472C4" w:themeColor="accent1"/>
        </w:rPr>
        <w:t xml:space="preserve">Quality Assurance </w:t>
      </w:r>
      <w:r w:rsidR="006D6764" w:rsidRPr="004D6A0E">
        <w:rPr>
          <w:b/>
          <w:bCs/>
          <w:color w:val="4472C4" w:themeColor="accent1"/>
        </w:rPr>
        <w:t>Agency</w:t>
      </w:r>
    </w:p>
    <w:p w14:paraId="0DA7287B" w14:textId="04D81341" w:rsidR="00826928" w:rsidRPr="00540655" w:rsidRDefault="00826928" w:rsidP="00A40E69">
      <w:pPr>
        <w:tabs>
          <w:tab w:val="num" w:pos="720"/>
        </w:tabs>
        <w:spacing w:line="276" w:lineRule="auto"/>
        <w:rPr>
          <w:rFonts w:asciiTheme="minorHAnsi" w:hAnsiTheme="minorHAnsi" w:cstheme="minorHAnsi"/>
          <w:sz w:val="22"/>
          <w:szCs w:val="22"/>
        </w:rPr>
      </w:pPr>
      <w:r w:rsidRPr="00540655">
        <w:rPr>
          <w:rFonts w:asciiTheme="minorHAnsi" w:hAnsiTheme="minorHAnsi" w:cstheme="minorHAnsi"/>
          <w:sz w:val="22"/>
          <w:szCs w:val="22"/>
        </w:rPr>
        <w:t>The Quality Assurance Agency for Higher Education plays a key role in ensuring the quality and standards of higher education in the UK.</w:t>
      </w:r>
    </w:p>
    <w:p w14:paraId="3C79E1F5" w14:textId="77777777" w:rsidR="00FA17A7" w:rsidRPr="00540655" w:rsidRDefault="00FA17A7" w:rsidP="00A40E69">
      <w:pPr>
        <w:tabs>
          <w:tab w:val="num" w:pos="720"/>
        </w:tabs>
        <w:spacing w:line="276" w:lineRule="auto"/>
        <w:rPr>
          <w:rFonts w:asciiTheme="minorHAnsi" w:hAnsiTheme="minorHAnsi" w:cstheme="minorHAnsi"/>
          <w:sz w:val="22"/>
          <w:szCs w:val="22"/>
        </w:rPr>
      </w:pPr>
    </w:p>
    <w:p w14:paraId="2D4BE9EB" w14:textId="4D3E0FBE" w:rsidR="00FA17A7" w:rsidRPr="004D6A0E" w:rsidRDefault="00FA17A7" w:rsidP="00A40E69">
      <w:pPr>
        <w:tabs>
          <w:tab w:val="num" w:pos="720"/>
        </w:tabs>
        <w:spacing w:line="276" w:lineRule="auto"/>
        <w:rPr>
          <w:rFonts w:asciiTheme="minorHAnsi" w:hAnsiTheme="minorHAnsi" w:cstheme="minorHAnsi"/>
          <w:sz w:val="22"/>
          <w:szCs w:val="22"/>
        </w:rPr>
      </w:pPr>
      <w:r w:rsidRPr="00540655">
        <w:rPr>
          <w:rFonts w:asciiTheme="minorHAnsi" w:hAnsiTheme="minorHAnsi" w:cstheme="minorHAnsi"/>
          <w:sz w:val="22"/>
          <w:szCs w:val="22"/>
        </w:rPr>
        <w:t xml:space="preserve">The organisation has a </w:t>
      </w:r>
      <w:hyperlink r:id="rId15" w:history="1">
        <w:r w:rsidRPr="004D6A0E">
          <w:rPr>
            <w:rStyle w:val="Hyperlink"/>
            <w:rFonts w:asciiTheme="minorHAnsi" w:hAnsiTheme="minorHAnsi" w:cstheme="minorHAnsi"/>
            <w:color w:val="auto"/>
            <w:sz w:val="22"/>
            <w:szCs w:val="22"/>
          </w:rPr>
          <w:t>Quality Code</w:t>
        </w:r>
      </w:hyperlink>
      <w:r w:rsidRPr="004D6A0E">
        <w:rPr>
          <w:rFonts w:asciiTheme="minorHAnsi" w:hAnsiTheme="minorHAnsi" w:cstheme="minorHAnsi"/>
          <w:sz w:val="22"/>
          <w:szCs w:val="22"/>
        </w:rPr>
        <w:t xml:space="preserve"> that represents a </w:t>
      </w:r>
      <w:r w:rsidR="00380DA5" w:rsidRPr="004D6A0E">
        <w:rPr>
          <w:rFonts w:asciiTheme="minorHAnsi" w:hAnsiTheme="minorHAnsi" w:cstheme="minorHAnsi"/>
          <w:sz w:val="22"/>
          <w:szCs w:val="22"/>
        </w:rPr>
        <w:t xml:space="preserve">standard quality of practice across the UK higher education sector, working to protect the public and student interests. </w:t>
      </w:r>
      <w:r w:rsidR="0095253E" w:rsidRPr="004D6A0E">
        <w:rPr>
          <w:rFonts w:asciiTheme="minorHAnsi" w:hAnsiTheme="minorHAnsi" w:cstheme="minorHAnsi"/>
          <w:sz w:val="22"/>
          <w:szCs w:val="22"/>
        </w:rPr>
        <w:t>The Code covers expectations, practices, advice and guidance</w:t>
      </w:r>
      <w:r w:rsidR="00F54B66" w:rsidRPr="004D6A0E">
        <w:rPr>
          <w:rFonts w:asciiTheme="minorHAnsi" w:hAnsiTheme="minorHAnsi" w:cstheme="minorHAnsi"/>
          <w:sz w:val="22"/>
          <w:szCs w:val="22"/>
        </w:rPr>
        <w:t xml:space="preserve">, focusing on best practice in governance across the sector. </w:t>
      </w:r>
    </w:p>
    <w:p w14:paraId="458ED457" w14:textId="77777777" w:rsidR="00826928" w:rsidRPr="004D6A0E" w:rsidRDefault="00826928" w:rsidP="00A40E69">
      <w:pPr>
        <w:tabs>
          <w:tab w:val="num" w:pos="720"/>
        </w:tabs>
        <w:spacing w:line="276" w:lineRule="auto"/>
        <w:rPr>
          <w:rFonts w:asciiTheme="minorHAnsi" w:hAnsiTheme="minorHAnsi" w:cstheme="minorHAnsi"/>
          <w:sz w:val="22"/>
          <w:szCs w:val="22"/>
        </w:rPr>
      </w:pPr>
    </w:p>
    <w:p w14:paraId="07EE05EF" w14:textId="25AF7F01" w:rsidR="00826928" w:rsidRPr="004D6A0E" w:rsidRDefault="006E4D67" w:rsidP="00A40E69">
      <w:pPr>
        <w:tabs>
          <w:tab w:val="num" w:pos="720"/>
        </w:tabs>
        <w:spacing w:line="276" w:lineRule="auto"/>
        <w:rPr>
          <w:rFonts w:asciiTheme="minorHAnsi" w:hAnsiTheme="minorHAnsi" w:cstheme="minorHAnsi"/>
          <w:sz w:val="22"/>
          <w:szCs w:val="22"/>
        </w:rPr>
      </w:pPr>
      <w:hyperlink r:id="rId16" w:history="1">
        <w:r w:rsidR="00826928" w:rsidRPr="004D6A0E">
          <w:rPr>
            <w:rStyle w:val="Hyperlink"/>
            <w:rFonts w:asciiTheme="minorHAnsi" w:hAnsiTheme="minorHAnsi" w:cstheme="minorHAnsi"/>
            <w:color w:val="auto"/>
            <w:sz w:val="22"/>
            <w:szCs w:val="22"/>
          </w:rPr>
          <w:t>Full resource here</w:t>
        </w:r>
      </w:hyperlink>
    </w:p>
    <w:p w14:paraId="6AEC1308" w14:textId="77777777" w:rsidR="00C50C68" w:rsidRDefault="00C50C68" w:rsidP="00A40E69">
      <w:pPr>
        <w:tabs>
          <w:tab w:val="num" w:pos="720"/>
        </w:tabs>
        <w:spacing w:line="276" w:lineRule="auto"/>
        <w:rPr>
          <w:rFonts w:ascii="Arial" w:hAnsi="Arial" w:cs="Arial"/>
        </w:rPr>
      </w:pPr>
    </w:p>
    <w:p w14:paraId="705C4D52" w14:textId="24ABD4FF" w:rsidR="00C50C68" w:rsidRPr="004D6A0E" w:rsidRDefault="00C50C68" w:rsidP="004D6A0E">
      <w:pPr>
        <w:pStyle w:val="Heading2"/>
        <w:rPr>
          <w:b/>
          <w:bCs/>
          <w:color w:val="4472C4" w:themeColor="accent1"/>
        </w:rPr>
      </w:pPr>
      <w:r w:rsidRPr="004D6A0E">
        <w:rPr>
          <w:b/>
          <w:bCs/>
          <w:color w:val="4472C4" w:themeColor="accent1"/>
        </w:rPr>
        <w:t>Universities UK</w:t>
      </w:r>
    </w:p>
    <w:p w14:paraId="198E773A" w14:textId="76C7751E" w:rsidR="00C50C68" w:rsidRPr="00540655" w:rsidRDefault="00C3196B" w:rsidP="00A40E69">
      <w:pPr>
        <w:tabs>
          <w:tab w:val="num" w:pos="720"/>
        </w:tabs>
        <w:spacing w:line="276" w:lineRule="auto"/>
        <w:rPr>
          <w:rFonts w:asciiTheme="minorHAnsi" w:hAnsiTheme="minorHAnsi" w:cstheme="minorHAnsi"/>
          <w:color w:val="000000"/>
          <w:sz w:val="22"/>
          <w:szCs w:val="22"/>
        </w:rPr>
      </w:pPr>
      <w:r w:rsidRPr="00540655">
        <w:rPr>
          <w:rFonts w:asciiTheme="minorHAnsi" w:hAnsiTheme="minorHAnsi" w:cstheme="minorHAnsi"/>
          <w:sz w:val="22"/>
          <w:szCs w:val="22"/>
        </w:rPr>
        <w:t xml:space="preserve">Universities UK </w:t>
      </w:r>
      <w:r w:rsidRPr="00540655">
        <w:rPr>
          <w:rFonts w:asciiTheme="minorHAnsi" w:hAnsiTheme="minorHAnsi" w:cstheme="minorHAnsi"/>
          <w:color w:val="000000"/>
          <w:sz w:val="22"/>
          <w:szCs w:val="22"/>
        </w:rPr>
        <w:t>is one of main representative bodies for higher education institutions (HEIs) and undertakes and publishes its own research and briefings on developments in the sector.</w:t>
      </w:r>
    </w:p>
    <w:p w14:paraId="0B72EA5F" w14:textId="77777777" w:rsidR="00C3196B" w:rsidRPr="00540655" w:rsidRDefault="00C3196B" w:rsidP="00A40E69">
      <w:pPr>
        <w:tabs>
          <w:tab w:val="num" w:pos="720"/>
        </w:tabs>
        <w:spacing w:line="276" w:lineRule="auto"/>
        <w:rPr>
          <w:rFonts w:asciiTheme="minorHAnsi" w:hAnsiTheme="minorHAnsi" w:cstheme="minorHAnsi"/>
          <w:color w:val="000000"/>
          <w:sz w:val="22"/>
          <w:szCs w:val="22"/>
        </w:rPr>
      </w:pPr>
    </w:p>
    <w:p w14:paraId="6087C504" w14:textId="2C3C6C5A" w:rsidR="00C3196B" w:rsidRPr="00540655" w:rsidRDefault="00C3196B" w:rsidP="00A40E69">
      <w:pPr>
        <w:tabs>
          <w:tab w:val="num" w:pos="720"/>
        </w:tabs>
        <w:spacing w:line="276" w:lineRule="auto"/>
        <w:rPr>
          <w:rFonts w:asciiTheme="minorHAnsi" w:hAnsiTheme="minorHAnsi" w:cstheme="minorHAnsi"/>
          <w:sz w:val="22"/>
          <w:szCs w:val="22"/>
        </w:rPr>
      </w:pPr>
      <w:r w:rsidRPr="00540655">
        <w:rPr>
          <w:rFonts w:asciiTheme="minorHAnsi" w:hAnsiTheme="minorHAnsi" w:cstheme="minorHAnsi"/>
          <w:color w:val="000000"/>
          <w:sz w:val="22"/>
          <w:szCs w:val="22"/>
        </w:rPr>
        <w:lastRenderedPageBreak/>
        <w:t xml:space="preserve">The organisation provides regular guidance and support for those governing academic institutions, </w:t>
      </w:r>
      <w:r w:rsidR="000D7275" w:rsidRPr="00540655">
        <w:rPr>
          <w:rFonts w:asciiTheme="minorHAnsi" w:hAnsiTheme="minorHAnsi" w:cstheme="minorHAnsi"/>
          <w:color w:val="000000"/>
          <w:sz w:val="22"/>
          <w:szCs w:val="22"/>
        </w:rPr>
        <w:t xml:space="preserve">covering a range of topics including finance and funding; research and innovation; EDI; </w:t>
      </w:r>
      <w:r w:rsidR="00CE2DFD" w:rsidRPr="00540655">
        <w:rPr>
          <w:rFonts w:asciiTheme="minorHAnsi" w:hAnsiTheme="minorHAnsi" w:cstheme="minorHAnsi"/>
          <w:color w:val="000000"/>
          <w:sz w:val="22"/>
          <w:szCs w:val="22"/>
        </w:rPr>
        <w:t xml:space="preserve">climate sustainability and an overview of governance. </w:t>
      </w:r>
    </w:p>
    <w:p w14:paraId="609C5EF8" w14:textId="77777777" w:rsidR="00C50C68" w:rsidRPr="004D6A0E" w:rsidRDefault="00C50C68" w:rsidP="00A40E69">
      <w:pPr>
        <w:tabs>
          <w:tab w:val="num" w:pos="720"/>
        </w:tabs>
        <w:spacing w:line="276" w:lineRule="auto"/>
        <w:rPr>
          <w:rFonts w:asciiTheme="minorHAnsi" w:hAnsiTheme="minorHAnsi" w:cstheme="minorHAnsi"/>
          <w:sz w:val="22"/>
          <w:szCs w:val="22"/>
        </w:rPr>
      </w:pPr>
    </w:p>
    <w:p w14:paraId="592CEE26" w14:textId="411929BC" w:rsidR="00C50C68" w:rsidRPr="004D6A0E" w:rsidRDefault="006E4D67" w:rsidP="00A40E69">
      <w:pPr>
        <w:tabs>
          <w:tab w:val="num" w:pos="720"/>
        </w:tabs>
        <w:spacing w:line="276" w:lineRule="auto"/>
        <w:rPr>
          <w:rFonts w:asciiTheme="minorHAnsi" w:hAnsiTheme="minorHAnsi" w:cstheme="minorHAnsi"/>
          <w:sz w:val="22"/>
          <w:szCs w:val="22"/>
        </w:rPr>
      </w:pPr>
      <w:hyperlink r:id="rId17" w:history="1">
        <w:r w:rsidR="00C50C68" w:rsidRPr="004D6A0E">
          <w:rPr>
            <w:rStyle w:val="Hyperlink"/>
            <w:rFonts w:asciiTheme="minorHAnsi" w:hAnsiTheme="minorHAnsi" w:cstheme="minorHAnsi"/>
            <w:color w:val="auto"/>
            <w:sz w:val="22"/>
            <w:szCs w:val="22"/>
          </w:rPr>
          <w:t>Full resource here</w:t>
        </w:r>
      </w:hyperlink>
    </w:p>
    <w:p w14:paraId="31952EE9" w14:textId="77777777" w:rsidR="00A36F0F" w:rsidRDefault="00A36F0F" w:rsidP="00A40E69">
      <w:pPr>
        <w:tabs>
          <w:tab w:val="num" w:pos="720"/>
        </w:tabs>
        <w:spacing w:line="276" w:lineRule="auto"/>
        <w:rPr>
          <w:rFonts w:ascii="Arial" w:hAnsi="Arial" w:cs="Arial"/>
        </w:rPr>
      </w:pPr>
    </w:p>
    <w:p w14:paraId="743BA924" w14:textId="77A4FADD" w:rsidR="00A36F0F" w:rsidRPr="004D6A0E" w:rsidRDefault="00A36F0F" w:rsidP="004D6A0E">
      <w:pPr>
        <w:pStyle w:val="Heading2"/>
        <w:rPr>
          <w:b/>
          <w:bCs/>
          <w:color w:val="4472C4" w:themeColor="accent1"/>
        </w:rPr>
      </w:pPr>
      <w:r w:rsidRPr="004D6A0E">
        <w:rPr>
          <w:b/>
          <w:bCs/>
          <w:color w:val="4472C4" w:themeColor="accent1"/>
        </w:rPr>
        <w:t>Institute for Government</w:t>
      </w:r>
    </w:p>
    <w:p w14:paraId="4D5538F6" w14:textId="1686EF77" w:rsidR="00422CE8" w:rsidRPr="00540655" w:rsidRDefault="00422CE8" w:rsidP="00A40E69">
      <w:pPr>
        <w:pStyle w:val="NormalWeb"/>
        <w:spacing w:before="0" w:beforeAutospacing="0" w:after="0" w:afterAutospacing="0" w:line="276" w:lineRule="auto"/>
        <w:textAlignment w:val="baseline"/>
        <w:rPr>
          <w:rFonts w:asciiTheme="minorHAnsi" w:hAnsiTheme="minorHAnsi" w:cstheme="minorHAnsi"/>
          <w:sz w:val="22"/>
          <w:szCs w:val="22"/>
        </w:rPr>
      </w:pPr>
      <w:r w:rsidRPr="00540655">
        <w:rPr>
          <w:rFonts w:asciiTheme="minorHAnsi" w:hAnsiTheme="minorHAnsi" w:cstheme="minorHAnsi"/>
          <w:sz w:val="22"/>
          <w:szCs w:val="22"/>
        </w:rPr>
        <w:t xml:space="preserve">The Institute for Government is the UK’s leading independent think tank working to make government more effective. The organisation conducts evidence-based research and data analysis, to share insight and expertise, for effective governance. </w:t>
      </w:r>
    </w:p>
    <w:p w14:paraId="7209DE4C" w14:textId="77777777" w:rsidR="00C17BD6" w:rsidRPr="00540655" w:rsidRDefault="00C17BD6" w:rsidP="00A40E69">
      <w:pPr>
        <w:pStyle w:val="NormalWeb"/>
        <w:spacing w:before="0" w:beforeAutospacing="0" w:after="0" w:afterAutospacing="0" w:line="276" w:lineRule="auto"/>
        <w:textAlignment w:val="baseline"/>
        <w:rPr>
          <w:rFonts w:asciiTheme="minorHAnsi" w:hAnsiTheme="minorHAnsi" w:cstheme="minorHAnsi"/>
          <w:sz w:val="22"/>
          <w:szCs w:val="22"/>
        </w:rPr>
      </w:pPr>
    </w:p>
    <w:p w14:paraId="01EFD552" w14:textId="0CAD4766" w:rsidR="00C17BD6" w:rsidRPr="00B31AFD" w:rsidRDefault="00C17BD6" w:rsidP="00A40E69">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540655">
        <w:rPr>
          <w:rFonts w:asciiTheme="minorHAnsi" w:hAnsiTheme="minorHAnsi" w:cstheme="minorHAnsi"/>
          <w:sz w:val="22"/>
          <w:szCs w:val="22"/>
        </w:rPr>
        <w:t xml:space="preserve">A key resource provides an overview of governance within local authorities, including the governance structure, election of local officials, funding and strategic planning. </w:t>
      </w:r>
      <w:r w:rsidR="005D4026" w:rsidRPr="00540655">
        <w:rPr>
          <w:rFonts w:asciiTheme="minorHAnsi" w:hAnsiTheme="minorHAnsi" w:cstheme="minorHAnsi"/>
          <w:sz w:val="22"/>
          <w:szCs w:val="22"/>
        </w:rPr>
        <w:t xml:space="preserve">It also provides guidance and best practice in governing at a local authority </w:t>
      </w:r>
      <w:r w:rsidR="006A0A12" w:rsidRPr="00540655">
        <w:rPr>
          <w:rFonts w:asciiTheme="minorHAnsi" w:hAnsiTheme="minorHAnsi" w:cstheme="minorHAnsi"/>
          <w:sz w:val="22"/>
          <w:szCs w:val="22"/>
        </w:rPr>
        <w:t>level and</w:t>
      </w:r>
      <w:r w:rsidR="00C815AF" w:rsidRPr="00540655">
        <w:rPr>
          <w:rFonts w:asciiTheme="minorHAnsi" w:hAnsiTheme="minorHAnsi" w:cstheme="minorHAnsi"/>
          <w:sz w:val="22"/>
          <w:szCs w:val="22"/>
        </w:rPr>
        <w:t xml:space="preserve"> looks at how government uses regulation to achieve core </w:t>
      </w:r>
      <w:r w:rsidR="00C815AF" w:rsidRPr="00B31AFD">
        <w:rPr>
          <w:rFonts w:asciiTheme="minorHAnsi" w:hAnsiTheme="minorHAnsi" w:cstheme="minorHAnsi"/>
          <w:color w:val="000000" w:themeColor="text1"/>
          <w:sz w:val="22"/>
          <w:szCs w:val="22"/>
        </w:rPr>
        <w:t xml:space="preserve">objectives. </w:t>
      </w:r>
    </w:p>
    <w:p w14:paraId="1442625F" w14:textId="77777777" w:rsidR="00E07A59" w:rsidRPr="00B31AFD" w:rsidRDefault="00E07A59" w:rsidP="00A40E69">
      <w:pPr>
        <w:tabs>
          <w:tab w:val="num" w:pos="720"/>
        </w:tabs>
        <w:spacing w:line="276" w:lineRule="auto"/>
        <w:rPr>
          <w:rFonts w:asciiTheme="minorHAnsi" w:hAnsiTheme="minorHAnsi" w:cstheme="minorHAnsi"/>
          <w:b/>
          <w:bCs/>
          <w:color w:val="000000" w:themeColor="text1"/>
          <w:u w:val="single"/>
        </w:rPr>
      </w:pPr>
    </w:p>
    <w:p w14:paraId="7EA34169" w14:textId="15DCB325" w:rsidR="00E07A59" w:rsidRPr="00B31AFD" w:rsidRDefault="006E4D67" w:rsidP="00A40E69">
      <w:pPr>
        <w:tabs>
          <w:tab w:val="num" w:pos="720"/>
        </w:tabs>
        <w:spacing w:line="276" w:lineRule="auto"/>
        <w:rPr>
          <w:rFonts w:asciiTheme="minorHAnsi" w:hAnsiTheme="minorHAnsi" w:cstheme="minorHAnsi"/>
          <w:color w:val="000000" w:themeColor="text1"/>
          <w:sz w:val="22"/>
          <w:szCs w:val="22"/>
        </w:rPr>
      </w:pPr>
      <w:hyperlink r:id="rId18" w:history="1">
        <w:r w:rsidR="00E07A59" w:rsidRPr="00B31AFD">
          <w:rPr>
            <w:rStyle w:val="Hyperlink"/>
            <w:rFonts w:asciiTheme="minorHAnsi" w:hAnsiTheme="minorHAnsi" w:cstheme="minorHAnsi"/>
            <w:color w:val="000000" w:themeColor="text1"/>
            <w:sz w:val="22"/>
            <w:szCs w:val="22"/>
          </w:rPr>
          <w:t>Full resource here</w:t>
        </w:r>
      </w:hyperlink>
    </w:p>
    <w:p w14:paraId="4C843347" w14:textId="77777777" w:rsidR="00120FF0" w:rsidRDefault="00120FF0" w:rsidP="00A40E69">
      <w:pPr>
        <w:tabs>
          <w:tab w:val="num" w:pos="720"/>
        </w:tabs>
        <w:spacing w:line="276" w:lineRule="auto"/>
        <w:rPr>
          <w:rFonts w:ascii="Arial" w:hAnsi="Arial" w:cs="Arial"/>
        </w:rPr>
      </w:pPr>
    </w:p>
    <w:p w14:paraId="1E582393" w14:textId="77777777" w:rsidR="00123751" w:rsidRPr="00B31AFD" w:rsidRDefault="00123751" w:rsidP="00B31AFD">
      <w:pPr>
        <w:pStyle w:val="Heading2"/>
        <w:rPr>
          <w:b/>
          <w:bCs/>
          <w:color w:val="4472C4" w:themeColor="accent1"/>
        </w:rPr>
      </w:pPr>
      <w:r w:rsidRPr="00B31AFD">
        <w:rPr>
          <w:b/>
          <w:bCs/>
          <w:color w:val="4472C4" w:themeColor="accent1"/>
        </w:rPr>
        <w:t>The Seven Deadly Sins of Boards</w:t>
      </w:r>
    </w:p>
    <w:p w14:paraId="36598882" w14:textId="77777777" w:rsidR="00123751" w:rsidRPr="00540655" w:rsidRDefault="00123751" w:rsidP="00A40E69">
      <w:pPr>
        <w:spacing w:line="276" w:lineRule="auto"/>
        <w:rPr>
          <w:rFonts w:asciiTheme="minorHAnsi" w:hAnsiTheme="minorHAnsi" w:cstheme="minorHAnsi"/>
          <w:sz w:val="22"/>
          <w:szCs w:val="22"/>
        </w:rPr>
      </w:pPr>
      <w:r w:rsidRPr="00540655">
        <w:rPr>
          <w:rFonts w:asciiTheme="minorHAnsi" w:hAnsiTheme="minorHAnsi" w:cstheme="minorHAnsi"/>
          <w:i/>
          <w:iCs/>
          <w:sz w:val="22"/>
          <w:szCs w:val="22"/>
          <w:lang w:val="en-US"/>
        </w:rPr>
        <w:t>John Williams, Civil Society, 2016</w:t>
      </w:r>
      <w:r w:rsidRPr="00540655">
        <w:rPr>
          <w:rFonts w:asciiTheme="minorHAnsi" w:hAnsiTheme="minorHAnsi" w:cstheme="minorHAnsi"/>
          <w:sz w:val="22"/>
          <w:szCs w:val="22"/>
        </w:rPr>
        <w:t xml:space="preserve"> </w:t>
      </w:r>
    </w:p>
    <w:p w14:paraId="23D6AF5B" w14:textId="77777777" w:rsidR="00123751" w:rsidRPr="00540655" w:rsidRDefault="00123751" w:rsidP="00A40E69">
      <w:pPr>
        <w:spacing w:line="276" w:lineRule="auto"/>
        <w:rPr>
          <w:rFonts w:asciiTheme="minorHAnsi" w:hAnsiTheme="minorHAnsi" w:cstheme="minorHAnsi"/>
          <w:sz w:val="8"/>
          <w:szCs w:val="8"/>
        </w:rPr>
      </w:pPr>
    </w:p>
    <w:p w14:paraId="7E11FE83" w14:textId="77777777" w:rsidR="00123751" w:rsidRPr="00540655" w:rsidRDefault="00123751" w:rsidP="00A40E69">
      <w:pPr>
        <w:spacing w:line="276" w:lineRule="auto"/>
        <w:rPr>
          <w:rFonts w:asciiTheme="minorHAnsi" w:hAnsiTheme="minorHAnsi" w:cstheme="minorHAnsi"/>
          <w:sz w:val="22"/>
          <w:szCs w:val="22"/>
        </w:rPr>
      </w:pPr>
      <w:r w:rsidRPr="00540655">
        <w:rPr>
          <w:rFonts w:asciiTheme="minorHAnsi" w:hAnsiTheme="minorHAnsi" w:cstheme="minorHAnsi"/>
          <w:sz w:val="22"/>
          <w:szCs w:val="22"/>
        </w:rPr>
        <w:t xml:space="preserve">John Williams, the Vice Chair of Association of Chairs, looks at the most common failings of charity boards: </w:t>
      </w:r>
    </w:p>
    <w:p w14:paraId="135DDA3C" w14:textId="77777777" w:rsidR="00123751" w:rsidRPr="00540655" w:rsidRDefault="00123751" w:rsidP="00EF3871">
      <w:pPr>
        <w:pStyle w:val="ListParagraph"/>
        <w:numPr>
          <w:ilvl w:val="0"/>
          <w:numId w:val="22"/>
        </w:numPr>
        <w:spacing w:line="276" w:lineRule="auto"/>
        <w:rPr>
          <w:rFonts w:asciiTheme="minorHAnsi" w:hAnsiTheme="minorHAnsi" w:cstheme="minorHAnsi"/>
          <w:sz w:val="22"/>
          <w:szCs w:val="22"/>
        </w:rPr>
      </w:pPr>
      <w:r w:rsidRPr="00540655">
        <w:rPr>
          <w:rFonts w:asciiTheme="minorHAnsi" w:hAnsiTheme="minorHAnsi" w:cstheme="minorHAnsi"/>
          <w:sz w:val="22"/>
          <w:szCs w:val="22"/>
        </w:rPr>
        <w:t>No formal evaluation</w:t>
      </w:r>
    </w:p>
    <w:p w14:paraId="1289DFD4" w14:textId="77777777" w:rsidR="00123751" w:rsidRPr="00540655" w:rsidRDefault="00123751" w:rsidP="00EF3871">
      <w:pPr>
        <w:pStyle w:val="ListParagraph"/>
        <w:numPr>
          <w:ilvl w:val="0"/>
          <w:numId w:val="22"/>
        </w:numPr>
        <w:spacing w:line="276" w:lineRule="auto"/>
        <w:rPr>
          <w:rFonts w:asciiTheme="minorHAnsi" w:hAnsiTheme="minorHAnsi" w:cstheme="minorHAnsi"/>
          <w:sz w:val="22"/>
          <w:szCs w:val="22"/>
        </w:rPr>
      </w:pPr>
      <w:r w:rsidRPr="00540655">
        <w:rPr>
          <w:rFonts w:asciiTheme="minorHAnsi" w:hAnsiTheme="minorHAnsi" w:cstheme="minorHAnsi"/>
          <w:sz w:val="22"/>
          <w:szCs w:val="22"/>
        </w:rPr>
        <w:t>Lack of finite terms of office</w:t>
      </w:r>
    </w:p>
    <w:p w14:paraId="4E5C8C0D" w14:textId="77777777" w:rsidR="00123751" w:rsidRPr="00540655" w:rsidRDefault="00123751" w:rsidP="00EF3871">
      <w:pPr>
        <w:pStyle w:val="ListParagraph"/>
        <w:numPr>
          <w:ilvl w:val="0"/>
          <w:numId w:val="22"/>
        </w:numPr>
        <w:spacing w:line="276" w:lineRule="auto"/>
        <w:rPr>
          <w:rFonts w:asciiTheme="minorHAnsi" w:hAnsiTheme="minorHAnsi" w:cstheme="minorHAnsi"/>
          <w:sz w:val="22"/>
          <w:szCs w:val="22"/>
        </w:rPr>
      </w:pPr>
      <w:r w:rsidRPr="00540655">
        <w:rPr>
          <w:rFonts w:asciiTheme="minorHAnsi" w:hAnsiTheme="minorHAnsi" w:cstheme="minorHAnsi"/>
          <w:sz w:val="22"/>
          <w:szCs w:val="22"/>
        </w:rPr>
        <w:t xml:space="preserve">Not enough attention to sustainability and risk </w:t>
      </w:r>
    </w:p>
    <w:p w14:paraId="4F75A5DD" w14:textId="77777777" w:rsidR="00123751" w:rsidRPr="00540655" w:rsidRDefault="00123751" w:rsidP="00EF3871">
      <w:pPr>
        <w:pStyle w:val="ListParagraph"/>
        <w:numPr>
          <w:ilvl w:val="0"/>
          <w:numId w:val="22"/>
        </w:numPr>
        <w:spacing w:line="276" w:lineRule="auto"/>
        <w:rPr>
          <w:rFonts w:asciiTheme="minorHAnsi" w:hAnsiTheme="minorHAnsi" w:cstheme="minorHAnsi"/>
          <w:sz w:val="22"/>
          <w:szCs w:val="22"/>
        </w:rPr>
      </w:pPr>
      <w:r w:rsidRPr="00540655">
        <w:rPr>
          <w:rFonts w:asciiTheme="minorHAnsi" w:hAnsiTheme="minorHAnsi" w:cstheme="minorHAnsi"/>
          <w:sz w:val="22"/>
          <w:szCs w:val="22"/>
        </w:rPr>
        <w:t>Skimping on recruitment</w:t>
      </w:r>
    </w:p>
    <w:p w14:paraId="6F68F2A3" w14:textId="77777777" w:rsidR="00123751" w:rsidRPr="00540655" w:rsidRDefault="00123751" w:rsidP="00EF3871">
      <w:pPr>
        <w:pStyle w:val="ListParagraph"/>
        <w:numPr>
          <w:ilvl w:val="0"/>
          <w:numId w:val="22"/>
        </w:numPr>
        <w:spacing w:line="276" w:lineRule="auto"/>
        <w:rPr>
          <w:rFonts w:asciiTheme="minorHAnsi" w:hAnsiTheme="minorHAnsi" w:cstheme="minorHAnsi"/>
          <w:sz w:val="22"/>
          <w:szCs w:val="22"/>
        </w:rPr>
      </w:pPr>
      <w:r w:rsidRPr="00540655">
        <w:rPr>
          <w:rFonts w:asciiTheme="minorHAnsi" w:hAnsiTheme="minorHAnsi" w:cstheme="minorHAnsi"/>
          <w:sz w:val="22"/>
          <w:szCs w:val="22"/>
        </w:rPr>
        <w:t>Lack of engagement between meetings</w:t>
      </w:r>
    </w:p>
    <w:p w14:paraId="283151E0" w14:textId="77777777" w:rsidR="00123751" w:rsidRPr="00540655" w:rsidRDefault="00123751" w:rsidP="00EF3871">
      <w:pPr>
        <w:pStyle w:val="ListParagraph"/>
        <w:numPr>
          <w:ilvl w:val="0"/>
          <w:numId w:val="22"/>
        </w:numPr>
        <w:spacing w:line="276" w:lineRule="auto"/>
        <w:rPr>
          <w:rFonts w:asciiTheme="minorHAnsi" w:hAnsiTheme="minorHAnsi" w:cstheme="minorHAnsi"/>
          <w:sz w:val="22"/>
          <w:szCs w:val="22"/>
        </w:rPr>
      </w:pPr>
      <w:r w:rsidRPr="00540655">
        <w:rPr>
          <w:rFonts w:asciiTheme="minorHAnsi" w:hAnsiTheme="minorHAnsi" w:cstheme="minorHAnsi"/>
          <w:sz w:val="22"/>
          <w:szCs w:val="22"/>
        </w:rPr>
        <w:t>Lack of respect for SMT</w:t>
      </w:r>
    </w:p>
    <w:p w14:paraId="071EBF31" w14:textId="77777777" w:rsidR="00123751" w:rsidRPr="00540655" w:rsidRDefault="00123751" w:rsidP="00EF3871">
      <w:pPr>
        <w:pStyle w:val="ListParagraph"/>
        <w:numPr>
          <w:ilvl w:val="0"/>
          <w:numId w:val="22"/>
        </w:numPr>
        <w:spacing w:line="276" w:lineRule="auto"/>
        <w:rPr>
          <w:rFonts w:asciiTheme="minorHAnsi" w:hAnsiTheme="minorHAnsi" w:cstheme="minorHAnsi"/>
          <w:sz w:val="22"/>
          <w:szCs w:val="22"/>
        </w:rPr>
      </w:pPr>
      <w:r w:rsidRPr="00540655">
        <w:rPr>
          <w:rFonts w:asciiTheme="minorHAnsi" w:hAnsiTheme="minorHAnsi" w:cstheme="minorHAnsi"/>
          <w:sz w:val="22"/>
          <w:szCs w:val="22"/>
        </w:rPr>
        <w:t>No investment in induction and training</w:t>
      </w:r>
    </w:p>
    <w:p w14:paraId="419972D9" w14:textId="77777777" w:rsidR="00123751" w:rsidRPr="00540655" w:rsidRDefault="00123751" w:rsidP="00A40E69">
      <w:pPr>
        <w:spacing w:line="276" w:lineRule="auto"/>
        <w:rPr>
          <w:rFonts w:asciiTheme="minorHAnsi" w:hAnsiTheme="minorHAnsi" w:cstheme="minorHAnsi"/>
          <w:sz w:val="22"/>
          <w:szCs w:val="22"/>
        </w:rPr>
      </w:pPr>
    </w:p>
    <w:p w14:paraId="36D7C394" w14:textId="77777777" w:rsidR="00123751" w:rsidRPr="00540655" w:rsidRDefault="006E4D67" w:rsidP="00A40E69">
      <w:pPr>
        <w:spacing w:line="276" w:lineRule="auto"/>
        <w:rPr>
          <w:rStyle w:val="Hyperlink"/>
          <w:rFonts w:asciiTheme="minorHAnsi" w:hAnsiTheme="minorHAnsi" w:cstheme="minorHAnsi"/>
          <w:color w:val="auto"/>
          <w:sz w:val="22"/>
          <w:szCs w:val="22"/>
        </w:rPr>
      </w:pPr>
      <w:hyperlink r:id="rId19" w:history="1">
        <w:r w:rsidR="00123751" w:rsidRPr="00540655">
          <w:rPr>
            <w:rStyle w:val="Hyperlink"/>
            <w:rFonts w:asciiTheme="minorHAnsi" w:hAnsiTheme="minorHAnsi" w:cstheme="minorHAnsi"/>
            <w:color w:val="auto"/>
            <w:sz w:val="22"/>
            <w:szCs w:val="22"/>
          </w:rPr>
          <w:t>Full Article Here</w:t>
        </w:r>
      </w:hyperlink>
    </w:p>
    <w:p w14:paraId="0E76C8F4" w14:textId="77777777" w:rsidR="00123751" w:rsidRPr="000536C9" w:rsidRDefault="00123751" w:rsidP="00A40E69">
      <w:pPr>
        <w:spacing w:line="276" w:lineRule="auto"/>
        <w:rPr>
          <w:rFonts w:ascii="Arial" w:hAnsi="Arial" w:cs="Arial"/>
        </w:rPr>
      </w:pPr>
    </w:p>
    <w:p w14:paraId="7E07F75A" w14:textId="77777777" w:rsidR="00123751" w:rsidRPr="00B31AFD" w:rsidRDefault="00123751" w:rsidP="00B31AFD">
      <w:pPr>
        <w:pStyle w:val="Heading2"/>
        <w:rPr>
          <w:b/>
          <w:bCs/>
          <w:color w:val="4472C4" w:themeColor="accent1"/>
        </w:rPr>
      </w:pPr>
      <w:r w:rsidRPr="00B31AFD">
        <w:rPr>
          <w:b/>
          <w:bCs/>
          <w:color w:val="4472C4" w:themeColor="accent1"/>
        </w:rPr>
        <w:t>The Seven Principles of Public Life (Nolan Principles)</w:t>
      </w:r>
    </w:p>
    <w:p w14:paraId="12A9392D" w14:textId="77777777" w:rsidR="00123751" w:rsidRPr="00540655" w:rsidRDefault="00123751" w:rsidP="00A40E69">
      <w:pPr>
        <w:pStyle w:val="NoSpacing"/>
        <w:spacing w:line="276" w:lineRule="auto"/>
        <w:rPr>
          <w:rFonts w:cstheme="minorHAnsi"/>
          <w:sz w:val="22"/>
          <w:szCs w:val="22"/>
          <w:lang w:eastAsia="en-GB"/>
        </w:rPr>
      </w:pPr>
      <w:r w:rsidRPr="00540655">
        <w:rPr>
          <w:rFonts w:cstheme="minorHAnsi"/>
          <w:sz w:val="22"/>
          <w:szCs w:val="22"/>
          <w:lang w:eastAsia="en-GB"/>
        </w:rPr>
        <w:t xml:space="preserve">The Seven Principles of Public Life (also known as the Nolan Principles) apply to anyone who works as a public office-holder. </w:t>
      </w:r>
    </w:p>
    <w:p w14:paraId="01032208" w14:textId="77777777" w:rsidR="00123751" w:rsidRPr="00540655" w:rsidRDefault="00123751" w:rsidP="00A40E69">
      <w:pPr>
        <w:pStyle w:val="NoSpacing"/>
        <w:spacing w:line="276" w:lineRule="auto"/>
        <w:rPr>
          <w:rFonts w:cstheme="minorHAnsi"/>
          <w:sz w:val="22"/>
          <w:szCs w:val="22"/>
          <w:lang w:eastAsia="en-GB"/>
        </w:rPr>
      </w:pPr>
    </w:p>
    <w:p w14:paraId="703D4699" w14:textId="77777777" w:rsidR="00123751" w:rsidRPr="00540655" w:rsidRDefault="00123751" w:rsidP="00A40E69">
      <w:pPr>
        <w:pStyle w:val="NoSpacing"/>
        <w:spacing w:line="276" w:lineRule="auto"/>
        <w:rPr>
          <w:rFonts w:cstheme="minorHAnsi"/>
          <w:sz w:val="22"/>
          <w:szCs w:val="22"/>
          <w:lang w:eastAsia="en-GB"/>
        </w:rPr>
      </w:pPr>
      <w:r w:rsidRPr="00540655">
        <w:rPr>
          <w:rFonts w:cstheme="minorHAnsi"/>
          <w:sz w:val="22"/>
          <w:szCs w:val="22"/>
          <w:lang w:eastAsia="en-GB"/>
        </w:rPr>
        <w:t xml:space="preserve">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w:t>
      </w:r>
    </w:p>
    <w:p w14:paraId="79CA568A" w14:textId="77777777" w:rsidR="00123751" w:rsidRPr="00540655" w:rsidRDefault="00123751" w:rsidP="00A40E69">
      <w:pPr>
        <w:pStyle w:val="NoSpacing"/>
        <w:spacing w:line="276" w:lineRule="auto"/>
        <w:rPr>
          <w:rFonts w:cstheme="minorHAnsi"/>
          <w:sz w:val="22"/>
          <w:szCs w:val="22"/>
          <w:lang w:eastAsia="en-GB"/>
        </w:rPr>
      </w:pPr>
    </w:p>
    <w:p w14:paraId="6266D435" w14:textId="77777777" w:rsidR="00123751" w:rsidRPr="00540655" w:rsidRDefault="00123751" w:rsidP="00A40E69">
      <w:pPr>
        <w:pStyle w:val="NoSpacing"/>
        <w:spacing w:line="276" w:lineRule="auto"/>
        <w:rPr>
          <w:rFonts w:cstheme="minorHAnsi"/>
          <w:sz w:val="22"/>
          <w:szCs w:val="22"/>
          <w:lang w:eastAsia="en-GB"/>
        </w:rPr>
      </w:pPr>
      <w:r w:rsidRPr="00540655">
        <w:rPr>
          <w:rFonts w:cstheme="minorHAnsi"/>
          <w:sz w:val="22"/>
          <w:szCs w:val="22"/>
          <w:lang w:eastAsia="en-GB"/>
        </w:rPr>
        <w:t xml:space="preserve">The principles include: </w:t>
      </w:r>
    </w:p>
    <w:p w14:paraId="1DE7DAA2" w14:textId="77777777" w:rsidR="00123751" w:rsidRPr="00540655" w:rsidRDefault="00123751" w:rsidP="00EF3871">
      <w:pPr>
        <w:pStyle w:val="NoSpacing"/>
        <w:numPr>
          <w:ilvl w:val="0"/>
          <w:numId w:val="23"/>
        </w:numPr>
        <w:spacing w:line="276" w:lineRule="auto"/>
        <w:rPr>
          <w:rFonts w:cstheme="minorHAnsi"/>
          <w:sz w:val="22"/>
          <w:szCs w:val="22"/>
          <w:lang w:eastAsia="en-GB"/>
        </w:rPr>
      </w:pPr>
      <w:r w:rsidRPr="00540655">
        <w:rPr>
          <w:rFonts w:cstheme="minorHAnsi"/>
          <w:sz w:val="22"/>
          <w:szCs w:val="22"/>
          <w:lang w:eastAsia="en-GB"/>
        </w:rPr>
        <w:t>Selflessness</w:t>
      </w:r>
    </w:p>
    <w:p w14:paraId="62BB4979" w14:textId="77777777" w:rsidR="00123751" w:rsidRPr="00540655" w:rsidRDefault="00123751" w:rsidP="00EF3871">
      <w:pPr>
        <w:pStyle w:val="NoSpacing"/>
        <w:numPr>
          <w:ilvl w:val="0"/>
          <w:numId w:val="23"/>
        </w:numPr>
        <w:spacing w:line="276" w:lineRule="auto"/>
        <w:rPr>
          <w:rFonts w:cstheme="minorHAnsi"/>
          <w:sz w:val="22"/>
          <w:szCs w:val="22"/>
          <w:lang w:eastAsia="en-GB"/>
        </w:rPr>
      </w:pPr>
      <w:r w:rsidRPr="00540655">
        <w:rPr>
          <w:rFonts w:cstheme="minorHAnsi"/>
          <w:sz w:val="22"/>
          <w:szCs w:val="22"/>
          <w:lang w:eastAsia="en-GB"/>
        </w:rPr>
        <w:t>Integrity</w:t>
      </w:r>
    </w:p>
    <w:p w14:paraId="45FE91E1" w14:textId="77777777" w:rsidR="00123751" w:rsidRPr="00540655" w:rsidRDefault="00123751" w:rsidP="00EF3871">
      <w:pPr>
        <w:pStyle w:val="NoSpacing"/>
        <w:numPr>
          <w:ilvl w:val="0"/>
          <w:numId w:val="23"/>
        </w:numPr>
        <w:spacing w:line="276" w:lineRule="auto"/>
        <w:rPr>
          <w:rFonts w:cstheme="minorHAnsi"/>
          <w:sz w:val="22"/>
          <w:szCs w:val="22"/>
          <w:lang w:eastAsia="en-GB"/>
        </w:rPr>
      </w:pPr>
      <w:r w:rsidRPr="00540655">
        <w:rPr>
          <w:rFonts w:cstheme="minorHAnsi"/>
          <w:sz w:val="22"/>
          <w:szCs w:val="22"/>
          <w:lang w:eastAsia="en-GB"/>
        </w:rPr>
        <w:t>Objectivity</w:t>
      </w:r>
    </w:p>
    <w:p w14:paraId="522F464B" w14:textId="77777777" w:rsidR="00123751" w:rsidRPr="00540655" w:rsidRDefault="00123751" w:rsidP="00EF3871">
      <w:pPr>
        <w:pStyle w:val="NoSpacing"/>
        <w:numPr>
          <w:ilvl w:val="0"/>
          <w:numId w:val="23"/>
        </w:numPr>
        <w:spacing w:line="276" w:lineRule="auto"/>
        <w:rPr>
          <w:rFonts w:cstheme="minorHAnsi"/>
          <w:sz w:val="22"/>
          <w:szCs w:val="22"/>
          <w:lang w:eastAsia="en-GB"/>
        </w:rPr>
      </w:pPr>
      <w:r w:rsidRPr="00540655">
        <w:rPr>
          <w:rFonts w:cstheme="minorHAnsi"/>
          <w:sz w:val="22"/>
          <w:szCs w:val="22"/>
          <w:lang w:eastAsia="en-GB"/>
        </w:rPr>
        <w:t>Accountability</w:t>
      </w:r>
    </w:p>
    <w:p w14:paraId="7AA8981D" w14:textId="77777777" w:rsidR="00123751" w:rsidRPr="00540655" w:rsidRDefault="00123751" w:rsidP="00EF3871">
      <w:pPr>
        <w:pStyle w:val="NoSpacing"/>
        <w:numPr>
          <w:ilvl w:val="0"/>
          <w:numId w:val="23"/>
        </w:numPr>
        <w:spacing w:line="276" w:lineRule="auto"/>
        <w:rPr>
          <w:rFonts w:cstheme="minorHAnsi"/>
          <w:sz w:val="22"/>
          <w:szCs w:val="22"/>
          <w:lang w:eastAsia="en-GB"/>
        </w:rPr>
      </w:pPr>
      <w:r w:rsidRPr="00540655">
        <w:rPr>
          <w:rFonts w:cstheme="minorHAnsi"/>
          <w:sz w:val="22"/>
          <w:szCs w:val="22"/>
          <w:lang w:eastAsia="en-GB"/>
        </w:rPr>
        <w:t>Openness</w:t>
      </w:r>
    </w:p>
    <w:p w14:paraId="30E08DD1" w14:textId="77777777" w:rsidR="00123751" w:rsidRPr="00540655" w:rsidRDefault="00123751" w:rsidP="00EF3871">
      <w:pPr>
        <w:pStyle w:val="NoSpacing"/>
        <w:numPr>
          <w:ilvl w:val="0"/>
          <w:numId w:val="23"/>
        </w:numPr>
        <w:spacing w:line="276" w:lineRule="auto"/>
        <w:rPr>
          <w:rFonts w:cstheme="minorHAnsi"/>
          <w:sz w:val="22"/>
          <w:szCs w:val="22"/>
          <w:lang w:eastAsia="en-GB"/>
        </w:rPr>
      </w:pPr>
      <w:r w:rsidRPr="00540655">
        <w:rPr>
          <w:rFonts w:cstheme="minorHAnsi"/>
          <w:sz w:val="22"/>
          <w:szCs w:val="22"/>
          <w:lang w:eastAsia="en-GB"/>
        </w:rPr>
        <w:t>Honesty</w:t>
      </w:r>
    </w:p>
    <w:p w14:paraId="31AD5960" w14:textId="77777777" w:rsidR="00123751" w:rsidRPr="00540655" w:rsidRDefault="00123751" w:rsidP="00EF3871">
      <w:pPr>
        <w:pStyle w:val="NoSpacing"/>
        <w:numPr>
          <w:ilvl w:val="0"/>
          <w:numId w:val="23"/>
        </w:numPr>
        <w:spacing w:line="276" w:lineRule="auto"/>
        <w:rPr>
          <w:rFonts w:cstheme="minorHAnsi"/>
          <w:sz w:val="22"/>
          <w:szCs w:val="22"/>
          <w:lang w:eastAsia="en-GB"/>
        </w:rPr>
      </w:pPr>
      <w:r w:rsidRPr="00540655">
        <w:rPr>
          <w:rFonts w:cstheme="minorHAnsi"/>
          <w:sz w:val="22"/>
          <w:szCs w:val="22"/>
          <w:lang w:eastAsia="en-GB"/>
        </w:rPr>
        <w:t>Leadership</w:t>
      </w:r>
    </w:p>
    <w:p w14:paraId="624A9888" w14:textId="77777777" w:rsidR="00123751" w:rsidRPr="00540655" w:rsidRDefault="00123751" w:rsidP="00A40E69">
      <w:pPr>
        <w:spacing w:line="276" w:lineRule="auto"/>
        <w:rPr>
          <w:rFonts w:asciiTheme="minorHAnsi" w:hAnsiTheme="minorHAnsi" w:cstheme="minorHAnsi"/>
          <w:b/>
          <w:bCs/>
          <w:u w:val="single"/>
        </w:rPr>
      </w:pPr>
    </w:p>
    <w:p w14:paraId="0864CEA4" w14:textId="0AA7BB00" w:rsidR="00123751" w:rsidRPr="006E4D67" w:rsidRDefault="006E4D67" w:rsidP="006E4D67">
      <w:pPr>
        <w:spacing w:line="276" w:lineRule="auto"/>
        <w:rPr>
          <w:rFonts w:asciiTheme="minorHAnsi" w:hAnsiTheme="minorHAnsi" w:cstheme="minorHAnsi"/>
          <w:sz w:val="22"/>
          <w:szCs w:val="22"/>
          <w:u w:val="single"/>
        </w:rPr>
      </w:pPr>
      <w:hyperlink r:id="rId20" w:history="1">
        <w:r w:rsidR="00123751" w:rsidRPr="00540655">
          <w:rPr>
            <w:rStyle w:val="Hyperlink"/>
            <w:rFonts w:asciiTheme="minorHAnsi" w:hAnsiTheme="minorHAnsi" w:cstheme="minorHAnsi"/>
            <w:color w:val="auto"/>
            <w:sz w:val="22"/>
            <w:szCs w:val="22"/>
          </w:rPr>
          <w:t>Full Guide Here</w:t>
        </w:r>
      </w:hyperlink>
    </w:p>
    <w:sectPr w:rsidR="00123751" w:rsidRPr="006E4D67" w:rsidSect="009A4340">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1411" w14:textId="77777777" w:rsidR="00500DFD" w:rsidRDefault="00500DFD" w:rsidP="009A4340">
      <w:r>
        <w:separator/>
      </w:r>
    </w:p>
  </w:endnote>
  <w:endnote w:type="continuationSeparator" w:id="0">
    <w:p w14:paraId="65F63127" w14:textId="77777777" w:rsidR="00500DFD" w:rsidRDefault="00500DFD"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DA58" w14:textId="77777777" w:rsidR="00424E1B" w:rsidRDefault="0042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F941" w14:textId="77777777" w:rsidR="00424E1B" w:rsidRDefault="0042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3499" w14:textId="77777777" w:rsidR="00424E1B" w:rsidRDefault="0042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CF6A" w14:textId="77777777" w:rsidR="00500DFD" w:rsidRDefault="00500DFD" w:rsidP="009A4340">
      <w:r>
        <w:separator/>
      </w:r>
    </w:p>
  </w:footnote>
  <w:footnote w:type="continuationSeparator" w:id="0">
    <w:p w14:paraId="5E590FCF" w14:textId="77777777" w:rsidR="00500DFD" w:rsidRDefault="00500DFD"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B048" w14:textId="77777777" w:rsidR="00424E1B" w:rsidRDefault="0042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97B6" w14:textId="77777777" w:rsidR="00424E1B" w:rsidRDefault="00424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88A96A3" w:rsidR="009A4340" w:rsidRDefault="00296E21">
    <w:pPr>
      <w:pStyle w:val="Header"/>
    </w:pPr>
    <w:r w:rsidRPr="009A4340">
      <w:rPr>
        <w:noProof/>
      </w:rPr>
      <w:drawing>
        <wp:anchor distT="0" distB="0" distL="114300" distR="114300" simplePos="0" relativeHeight="251660288" behindDoc="0" locked="0" layoutInCell="1" allowOverlap="1" wp14:anchorId="2963E7B4" wp14:editId="6459B607">
          <wp:simplePos x="0" y="0"/>
          <wp:positionH relativeFrom="column">
            <wp:posOffset>4970780</wp:posOffset>
          </wp:positionH>
          <wp:positionV relativeFrom="paragraph">
            <wp:posOffset>-335280</wp:posOffset>
          </wp:positionV>
          <wp:extent cx="1969770" cy="596900"/>
          <wp:effectExtent l="0" t="0" r="0" b="0"/>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770" cy="596900"/>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2336" behindDoc="0" locked="0" layoutInCell="1" allowOverlap="1" wp14:anchorId="5A3D59E2" wp14:editId="0C5BD196">
          <wp:simplePos x="0" y="0"/>
          <wp:positionH relativeFrom="column">
            <wp:posOffset>-266700</wp:posOffset>
          </wp:positionH>
          <wp:positionV relativeFrom="paragraph">
            <wp:posOffset>-191135</wp:posOffset>
          </wp:positionV>
          <wp:extent cx="2973705" cy="457200"/>
          <wp:effectExtent l="0" t="0" r="0" b="0"/>
          <wp:wrapSquare wrapText="bothSides"/>
          <wp:docPr id="1634404298" name="Picture 1" descr="Arts Council England: Transforming Governance Program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rogramme">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9EA"/>
    <w:multiLevelType w:val="multilevel"/>
    <w:tmpl w:val="19F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D3967"/>
    <w:multiLevelType w:val="hybridMultilevel"/>
    <w:tmpl w:val="B8AA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3020B"/>
    <w:multiLevelType w:val="hybridMultilevel"/>
    <w:tmpl w:val="21A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7F1F"/>
    <w:multiLevelType w:val="multilevel"/>
    <w:tmpl w:val="351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C0DE4"/>
    <w:multiLevelType w:val="hybridMultilevel"/>
    <w:tmpl w:val="126896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803BE5"/>
    <w:multiLevelType w:val="hybridMultilevel"/>
    <w:tmpl w:val="C6A662C2"/>
    <w:lvl w:ilvl="0" w:tplc="E3D4EE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59F1"/>
    <w:multiLevelType w:val="multilevel"/>
    <w:tmpl w:val="87F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C4E52"/>
    <w:multiLevelType w:val="hybridMultilevel"/>
    <w:tmpl w:val="75A4AC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4E687E"/>
    <w:multiLevelType w:val="hybridMultilevel"/>
    <w:tmpl w:val="3A4AB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73AF0"/>
    <w:multiLevelType w:val="hybridMultilevel"/>
    <w:tmpl w:val="9BD4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14910"/>
    <w:multiLevelType w:val="multilevel"/>
    <w:tmpl w:val="1EE23D70"/>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6489C"/>
    <w:multiLevelType w:val="hybridMultilevel"/>
    <w:tmpl w:val="C33EA3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FCA162C"/>
    <w:multiLevelType w:val="hybridMultilevel"/>
    <w:tmpl w:val="9B08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6220D"/>
    <w:multiLevelType w:val="hybridMultilevel"/>
    <w:tmpl w:val="55D2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5447D"/>
    <w:multiLevelType w:val="hybridMultilevel"/>
    <w:tmpl w:val="625C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47E18"/>
    <w:multiLevelType w:val="multilevel"/>
    <w:tmpl w:val="4E3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18" w15:restartNumberingAfterBreak="0">
    <w:nsid w:val="6B766F1E"/>
    <w:multiLevelType w:val="multilevel"/>
    <w:tmpl w:val="45E2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202C45"/>
    <w:multiLevelType w:val="hybridMultilevel"/>
    <w:tmpl w:val="4ABEE6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6711D94"/>
    <w:multiLevelType w:val="hybridMultilevel"/>
    <w:tmpl w:val="F0048742"/>
    <w:lvl w:ilvl="0" w:tplc="E3D4EE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C3EE0"/>
    <w:multiLevelType w:val="multilevel"/>
    <w:tmpl w:val="B62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EA1E44"/>
    <w:multiLevelType w:val="hybridMultilevel"/>
    <w:tmpl w:val="70E6AE0E"/>
    <w:lvl w:ilvl="0" w:tplc="CE5C225C">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105205">
    <w:abstractNumId w:val="17"/>
  </w:num>
  <w:num w:numId="2" w16cid:durableId="391468303">
    <w:abstractNumId w:val="22"/>
  </w:num>
  <w:num w:numId="3" w16cid:durableId="1553423180">
    <w:abstractNumId w:val="8"/>
  </w:num>
  <w:num w:numId="4" w16cid:durableId="1981424417">
    <w:abstractNumId w:val="3"/>
  </w:num>
  <w:num w:numId="5" w16cid:durableId="114033186">
    <w:abstractNumId w:val="18"/>
  </w:num>
  <w:num w:numId="6" w16cid:durableId="409229602">
    <w:abstractNumId w:val="14"/>
  </w:num>
  <w:num w:numId="7" w16cid:durableId="599725963">
    <w:abstractNumId w:val="13"/>
  </w:num>
  <w:num w:numId="8" w16cid:durableId="613943950">
    <w:abstractNumId w:val="9"/>
  </w:num>
  <w:num w:numId="9" w16cid:durableId="1374580478">
    <w:abstractNumId w:val="6"/>
  </w:num>
  <w:num w:numId="10" w16cid:durableId="2124957045">
    <w:abstractNumId w:val="21"/>
  </w:num>
  <w:num w:numId="11" w16cid:durableId="1011685256">
    <w:abstractNumId w:val="15"/>
  </w:num>
  <w:num w:numId="12" w16cid:durableId="1337148386">
    <w:abstractNumId w:val="11"/>
  </w:num>
  <w:num w:numId="13" w16cid:durableId="1095248949">
    <w:abstractNumId w:val="16"/>
  </w:num>
  <w:num w:numId="14" w16cid:durableId="664355730">
    <w:abstractNumId w:val="0"/>
  </w:num>
  <w:num w:numId="15" w16cid:durableId="721683341">
    <w:abstractNumId w:val="5"/>
  </w:num>
  <w:num w:numId="16" w16cid:durableId="479033658">
    <w:abstractNumId w:val="20"/>
  </w:num>
  <w:num w:numId="17" w16cid:durableId="623539341">
    <w:abstractNumId w:val="4"/>
  </w:num>
  <w:num w:numId="18" w16cid:durableId="1500342839">
    <w:abstractNumId w:val="1"/>
  </w:num>
  <w:num w:numId="19" w16cid:durableId="1522669173">
    <w:abstractNumId w:val="7"/>
  </w:num>
  <w:num w:numId="20" w16cid:durableId="1956280176">
    <w:abstractNumId w:val="10"/>
  </w:num>
  <w:num w:numId="21" w16cid:durableId="1862818071">
    <w:abstractNumId w:val="2"/>
  </w:num>
  <w:num w:numId="22" w16cid:durableId="1602494998">
    <w:abstractNumId w:val="12"/>
  </w:num>
  <w:num w:numId="23" w16cid:durableId="363213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24C18"/>
    <w:rsid w:val="000536C9"/>
    <w:rsid w:val="000771B6"/>
    <w:rsid w:val="000D7275"/>
    <w:rsid w:val="000F18EB"/>
    <w:rsid w:val="00110D42"/>
    <w:rsid w:val="00120FF0"/>
    <w:rsid w:val="00123751"/>
    <w:rsid w:val="00125C9A"/>
    <w:rsid w:val="00176D02"/>
    <w:rsid w:val="001775BB"/>
    <w:rsid w:val="00182E90"/>
    <w:rsid w:val="00186CBA"/>
    <w:rsid w:val="001878B9"/>
    <w:rsid w:val="001D14FF"/>
    <w:rsid w:val="001F7ACC"/>
    <w:rsid w:val="0020218A"/>
    <w:rsid w:val="002676A3"/>
    <w:rsid w:val="0028117E"/>
    <w:rsid w:val="00296E21"/>
    <w:rsid w:val="002D39FF"/>
    <w:rsid w:val="002D7303"/>
    <w:rsid w:val="002E320D"/>
    <w:rsid w:val="003639AA"/>
    <w:rsid w:val="00380DA5"/>
    <w:rsid w:val="003D6625"/>
    <w:rsid w:val="003F3311"/>
    <w:rsid w:val="00402946"/>
    <w:rsid w:val="00422CE8"/>
    <w:rsid w:val="00424E1B"/>
    <w:rsid w:val="00427235"/>
    <w:rsid w:val="00477A5C"/>
    <w:rsid w:val="00497EDE"/>
    <w:rsid w:val="004B3D45"/>
    <w:rsid w:val="004B648C"/>
    <w:rsid w:val="004D6A0E"/>
    <w:rsid w:val="004F3E31"/>
    <w:rsid w:val="00500DFD"/>
    <w:rsid w:val="00512CFB"/>
    <w:rsid w:val="005155E6"/>
    <w:rsid w:val="00516F23"/>
    <w:rsid w:val="00534696"/>
    <w:rsid w:val="00540655"/>
    <w:rsid w:val="00565279"/>
    <w:rsid w:val="00585528"/>
    <w:rsid w:val="005D0D92"/>
    <w:rsid w:val="005D4026"/>
    <w:rsid w:val="005F177F"/>
    <w:rsid w:val="00602393"/>
    <w:rsid w:val="006260B8"/>
    <w:rsid w:val="00671CA3"/>
    <w:rsid w:val="006A0A12"/>
    <w:rsid w:val="006D59E0"/>
    <w:rsid w:val="006D6764"/>
    <w:rsid w:val="006E49CD"/>
    <w:rsid w:val="006E4D67"/>
    <w:rsid w:val="00745BEE"/>
    <w:rsid w:val="007777BB"/>
    <w:rsid w:val="00826928"/>
    <w:rsid w:val="008434DF"/>
    <w:rsid w:val="008777DF"/>
    <w:rsid w:val="00881154"/>
    <w:rsid w:val="008C6104"/>
    <w:rsid w:val="008E3153"/>
    <w:rsid w:val="008E6B88"/>
    <w:rsid w:val="0090381C"/>
    <w:rsid w:val="00904BEC"/>
    <w:rsid w:val="00927C9A"/>
    <w:rsid w:val="00940D4D"/>
    <w:rsid w:val="0095253E"/>
    <w:rsid w:val="009578A2"/>
    <w:rsid w:val="00970F9B"/>
    <w:rsid w:val="0097484E"/>
    <w:rsid w:val="009A4340"/>
    <w:rsid w:val="009B5A0B"/>
    <w:rsid w:val="009F33E7"/>
    <w:rsid w:val="00A36F0F"/>
    <w:rsid w:val="00A37D72"/>
    <w:rsid w:val="00A40E69"/>
    <w:rsid w:val="00A5442D"/>
    <w:rsid w:val="00A83964"/>
    <w:rsid w:val="00A844BD"/>
    <w:rsid w:val="00AF0C8D"/>
    <w:rsid w:val="00B31AFD"/>
    <w:rsid w:val="00B4009F"/>
    <w:rsid w:val="00B46E52"/>
    <w:rsid w:val="00B85694"/>
    <w:rsid w:val="00B9718A"/>
    <w:rsid w:val="00BB198E"/>
    <w:rsid w:val="00BB459F"/>
    <w:rsid w:val="00BB7C43"/>
    <w:rsid w:val="00BC69E1"/>
    <w:rsid w:val="00BD1BB0"/>
    <w:rsid w:val="00C17BD6"/>
    <w:rsid w:val="00C3196B"/>
    <w:rsid w:val="00C50C68"/>
    <w:rsid w:val="00C815AF"/>
    <w:rsid w:val="00CE2DFD"/>
    <w:rsid w:val="00CE6D4B"/>
    <w:rsid w:val="00D01795"/>
    <w:rsid w:val="00D0236F"/>
    <w:rsid w:val="00D448F4"/>
    <w:rsid w:val="00DA4D3B"/>
    <w:rsid w:val="00DE2245"/>
    <w:rsid w:val="00E07A59"/>
    <w:rsid w:val="00E2607C"/>
    <w:rsid w:val="00E61C5C"/>
    <w:rsid w:val="00E6558A"/>
    <w:rsid w:val="00E720E8"/>
    <w:rsid w:val="00EC1BD9"/>
    <w:rsid w:val="00ED0A62"/>
    <w:rsid w:val="00EE2ABB"/>
    <w:rsid w:val="00EF3871"/>
    <w:rsid w:val="00F1430D"/>
    <w:rsid w:val="00F22A0B"/>
    <w:rsid w:val="00F54B66"/>
    <w:rsid w:val="00F552CC"/>
    <w:rsid w:val="00F74169"/>
    <w:rsid w:val="00F80EBB"/>
    <w:rsid w:val="00F82BC4"/>
    <w:rsid w:val="00F968D0"/>
    <w:rsid w:val="00FA17A7"/>
    <w:rsid w:val="00FA6A27"/>
    <w:rsid w:val="00FF3D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92"/>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2811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D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semiHidden/>
    <w:unhideWhenUsed/>
    <w:rsid w:val="008777DF"/>
    <w:pPr>
      <w:spacing w:before="100" w:beforeAutospacing="1" w:after="100" w:afterAutospacing="1"/>
    </w:p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Strong">
    <w:name w:val="Strong"/>
    <w:basedOn w:val="DefaultParagraphFont"/>
    <w:uiPriority w:val="22"/>
    <w:qFormat/>
    <w:rsid w:val="00BB459F"/>
    <w:rPr>
      <w:b/>
      <w:bCs/>
    </w:rPr>
  </w:style>
  <w:style w:type="character" w:styleId="FollowedHyperlink">
    <w:name w:val="FollowedHyperlink"/>
    <w:basedOn w:val="DefaultParagraphFont"/>
    <w:uiPriority w:val="99"/>
    <w:semiHidden/>
    <w:unhideWhenUsed/>
    <w:rsid w:val="00826928"/>
    <w:rPr>
      <w:color w:val="954F72" w:themeColor="followedHyperlink"/>
      <w:u w:val="single"/>
    </w:rPr>
  </w:style>
  <w:style w:type="paragraph" w:styleId="Title">
    <w:name w:val="Title"/>
    <w:basedOn w:val="Normal"/>
    <w:next w:val="Normal"/>
    <w:link w:val="TitleChar"/>
    <w:uiPriority w:val="10"/>
    <w:qFormat/>
    <w:rsid w:val="002E32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20D"/>
    <w:rPr>
      <w:rFonts w:asciiTheme="majorHAnsi" w:eastAsiaTheme="majorEastAsia" w:hAnsiTheme="majorHAnsi" w:cstheme="majorBidi"/>
      <w:spacing w:val="-10"/>
      <w:kern w:val="28"/>
      <w:sz w:val="56"/>
      <w:szCs w:val="56"/>
      <w:lang w:eastAsia="en-GB"/>
      <w14:ligatures w14:val="none"/>
    </w:rPr>
  </w:style>
  <w:style w:type="character" w:customStyle="1" w:styleId="Heading2Char">
    <w:name w:val="Heading 2 Char"/>
    <w:basedOn w:val="DefaultParagraphFont"/>
    <w:link w:val="Heading2"/>
    <w:uiPriority w:val="9"/>
    <w:rsid w:val="00FF3D4C"/>
    <w:rPr>
      <w:rFonts w:asciiTheme="majorHAnsi" w:eastAsiaTheme="majorEastAsia" w:hAnsiTheme="majorHAnsi" w:cstheme="majorBidi"/>
      <w:color w:val="2F5496" w:themeColor="accent1" w:themeShade="BF"/>
      <w:kern w:val="0"/>
      <w:sz w:val="26"/>
      <w:szCs w:val="26"/>
      <w:lang w:eastAsia="en-GB"/>
      <w14:ligatures w14:val="none"/>
    </w:rPr>
  </w:style>
  <w:style w:type="character" w:customStyle="1" w:styleId="Heading1Char">
    <w:name w:val="Heading 1 Char"/>
    <w:basedOn w:val="DefaultParagraphFont"/>
    <w:link w:val="Heading1"/>
    <w:uiPriority w:val="9"/>
    <w:rsid w:val="0028117E"/>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88">
      <w:bodyDiv w:val="1"/>
      <w:marLeft w:val="0"/>
      <w:marRight w:val="0"/>
      <w:marTop w:val="0"/>
      <w:marBottom w:val="0"/>
      <w:divBdr>
        <w:top w:val="none" w:sz="0" w:space="0" w:color="auto"/>
        <w:left w:val="none" w:sz="0" w:space="0" w:color="auto"/>
        <w:bottom w:val="none" w:sz="0" w:space="0" w:color="auto"/>
        <w:right w:val="none" w:sz="0" w:space="0" w:color="auto"/>
      </w:divBdr>
    </w:div>
    <w:div w:id="229733344">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355885982">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44010028">
      <w:bodyDiv w:val="1"/>
      <w:marLeft w:val="0"/>
      <w:marRight w:val="0"/>
      <w:marTop w:val="0"/>
      <w:marBottom w:val="0"/>
      <w:divBdr>
        <w:top w:val="none" w:sz="0" w:space="0" w:color="auto"/>
        <w:left w:val="none" w:sz="0" w:space="0" w:color="auto"/>
        <w:bottom w:val="none" w:sz="0" w:space="0" w:color="auto"/>
        <w:right w:val="none" w:sz="0" w:space="0" w:color="auto"/>
      </w:divBdr>
    </w:div>
    <w:div w:id="522327757">
      <w:bodyDiv w:val="1"/>
      <w:marLeft w:val="0"/>
      <w:marRight w:val="0"/>
      <w:marTop w:val="0"/>
      <w:marBottom w:val="0"/>
      <w:divBdr>
        <w:top w:val="none" w:sz="0" w:space="0" w:color="auto"/>
        <w:left w:val="none" w:sz="0" w:space="0" w:color="auto"/>
        <w:bottom w:val="none" w:sz="0" w:space="0" w:color="auto"/>
        <w:right w:val="none" w:sz="0" w:space="0" w:color="auto"/>
      </w:divBdr>
    </w:div>
    <w:div w:id="529222417">
      <w:bodyDiv w:val="1"/>
      <w:marLeft w:val="0"/>
      <w:marRight w:val="0"/>
      <w:marTop w:val="0"/>
      <w:marBottom w:val="0"/>
      <w:divBdr>
        <w:top w:val="none" w:sz="0" w:space="0" w:color="auto"/>
        <w:left w:val="none" w:sz="0" w:space="0" w:color="auto"/>
        <w:bottom w:val="none" w:sz="0" w:space="0" w:color="auto"/>
        <w:right w:val="none" w:sz="0" w:space="0" w:color="auto"/>
      </w:divBdr>
    </w:div>
    <w:div w:id="559630639">
      <w:bodyDiv w:val="1"/>
      <w:marLeft w:val="0"/>
      <w:marRight w:val="0"/>
      <w:marTop w:val="0"/>
      <w:marBottom w:val="0"/>
      <w:divBdr>
        <w:top w:val="none" w:sz="0" w:space="0" w:color="auto"/>
        <w:left w:val="none" w:sz="0" w:space="0" w:color="auto"/>
        <w:bottom w:val="none" w:sz="0" w:space="0" w:color="auto"/>
        <w:right w:val="none" w:sz="0" w:space="0" w:color="auto"/>
      </w:divBdr>
    </w:div>
    <w:div w:id="574511659">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1953882">
      <w:bodyDiv w:val="1"/>
      <w:marLeft w:val="0"/>
      <w:marRight w:val="0"/>
      <w:marTop w:val="0"/>
      <w:marBottom w:val="0"/>
      <w:divBdr>
        <w:top w:val="none" w:sz="0" w:space="0" w:color="auto"/>
        <w:left w:val="none" w:sz="0" w:space="0" w:color="auto"/>
        <w:bottom w:val="none" w:sz="0" w:space="0" w:color="auto"/>
        <w:right w:val="none" w:sz="0" w:space="0" w:color="auto"/>
      </w:divBdr>
    </w:div>
    <w:div w:id="668827044">
      <w:bodyDiv w:val="1"/>
      <w:marLeft w:val="0"/>
      <w:marRight w:val="0"/>
      <w:marTop w:val="0"/>
      <w:marBottom w:val="0"/>
      <w:divBdr>
        <w:top w:val="none" w:sz="0" w:space="0" w:color="auto"/>
        <w:left w:val="none" w:sz="0" w:space="0" w:color="auto"/>
        <w:bottom w:val="none" w:sz="0" w:space="0" w:color="auto"/>
        <w:right w:val="none" w:sz="0" w:space="0" w:color="auto"/>
      </w:divBdr>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60780755">
      <w:bodyDiv w:val="1"/>
      <w:marLeft w:val="0"/>
      <w:marRight w:val="0"/>
      <w:marTop w:val="0"/>
      <w:marBottom w:val="0"/>
      <w:divBdr>
        <w:top w:val="none" w:sz="0" w:space="0" w:color="auto"/>
        <w:left w:val="none" w:sz="0" w:space="0" w:color="auto"/>
        <w:bottom w:val="none" w:sz="0" w:space="0" w:color="auto"/>
        <w:right w:val="none" w:sz="0" w:space="0" w:color="auto"/>
      </w:divBdr>
    </w:div>
    <w:div w:id="909120208">
      <w:bodyDiv w:val="1"/>
      <w:marLeft w:val="0"/>
      <w:marRight w:val="0"/>
      <w:marTop w:val="0"/>
      <w:marBottom w:val="0"/>
      <w:divBdr>
        <w:top w:val="none" w:sz="0" w:space="0" w:color="auto"/>
        <w:left w:val="none" w:sz="0" w:space="0" w:color="auto"/>
        <w:bottom w:val="none" w:sz="0" w:space="0" w:color="auto"/>
        <w:right w:val="none" w:sz="0" w:space="0" w:color="auto"/>
      </w:divBdr>
    </w:div>
    <w:div w:id="909967506">
      <w:bodyDiv w:val="1"/>
      <w:marLeft w:val="0"/>
      <w:marRight w:val="0"/>
      <w:marTop w:val="0"/>
      <w:marBottom w:val="0"/>
      <w:divBdr>
        <w:top w:val="none" w:sz="0" w:space="0" w:color="auto"/>
        <w:left w:val="none" w:sz="0" w:space="0" w:color="auto"/>
        <w:bottom w:val="none" w:sz="0" w:space="0" w:color="auto"/>
        <w:right w:val="none" w:sz="0" w:space="0" w:color="auto"/>
      </w:divBdr>
      <w:divsChild>
        <w:div w:id="1385175590">
          <w:marLeft w:val="0"/>
          <w:marRight w:val="0"/>
          <w:marTop w:val="0"/>
          <w:marBottom w:val="0"/>
          <w:divBdr>
            <w:top w:val="none" w:sz="0" w:space="0" w:color="auto"/>
            <w:left w:val="none" w:sz="0" w:space="0" w:color="auto"/>
            <w:bottom w:val="none" w:sz="0" w:space="0" w:color="auto"/>
            <w:right w:val="none" w:sz="0" w:space="0" w:color="auto"/>
          </w:divBdr>
          <w:divsChild>
            <w:div w:id="275647941">
              <w:marLeft w:val="0"/>
              <w:marRight w:val="0"/>
              <w:marTop w:val="0"/>
              <w:marBottom w:val="0"/>
              <w:divBdr>
                <w:top w:val="none" w:sz="0" w:space="0" w:color="auto"/>
                <w:left w:val="none" w:sz="0" w:space="0" w:color="auto"/>
                <w:bottom w:val="none" w:sz="0" w:space="0" w:color="auto"/>
                <w:right w:val="none" w:sz="0" w:space="0" w:color="auto"/>
              </w:divBdr>
              <w:divsChild>
                <w:div w:id="1023171874">
                  <w:marLeft w:val="0"/>
                  <w:marRight w:val="0"/>
                  <w:marTop w:val="0"/>
                  <w:marBottom w:val="0"/>
                  <w:divBdr>
                    <w:top w:val="none" w:sz="0" w:space="0" w:color="auto"/>
                    <w:left w:val="none" w:sz="0" w:space="0" w:color="auto"/>
                    <w:bottom w:val="none" w:sz="0" w:space="0" w:color="auto"/>
                    <w:right w:val="none" w:sz="0" w:space="0" w:color="auto"/>
                  </w:divBdr>
                  <w:divsChild>
                    <w:div w:id="51464382">
                      <w:marLeft w:val="0"/>
                      <w:marRight w:val="0"/>
                      <w:marTop w:val="0"/>
                      <w:marBottom w:val="0"/>
                      <w:divBdr>
                        <w:top w:val="none" w:sz="0" w:space="0" w:color="auto"/>
                        <w:left w:val="none" w:sz="0" w:space="0" w:color="auto"/>
                        <w:bottom w:val="none" w:sz="0" w:space="0" w:color="auto"/>
                        <w:right w:val="none" w:sz="0" w:space="0" w:color="auto"/>
                      </w:divBdr>
                      <w:divsChild>
                        <w:div w:id="893078793">
                          <w:marLeft w:val="300"/>
                          <w:marRight w:val="300"/>
                          <w:marTop w:val="300"/>
                          <w:marBottom w:val="0"/>
                          <w:divBdr>
                            <w:top w:val="none" w:sz="0" w:space="0" w:color="auto"/>
                            <w:left w:val="none" w:sz="0" w:space="0" w:color="auto"/>
                            <w:bottom w:val="none" w:sz="0" w:space="0" w:color="auto"/>
                            <w:right w:val="none" w:sz="0" w:space="0" w:color="auto"/>
                          </w:divBdr>
                          <w:divsChild>
                            <w:div w:id="2225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14554">
          <w:marLeft w:val="0"/>
          <w:marRight w:val="0"/>
          <w:marTop w:val="0"/>
          <w:marBottom w:val="0"/>
          <w:divBdr>
            <w:top w:val="none" w:sz="0" w:space="0" w:color="auto"/>
            <w:left w:val="none" w:sz="0" w:space="0" w:color="auto"/>
            <w:bottom w:val="none" w:sz="0" w:space="0" w:color="auto"/>
            <w:right w:val="none" w:sz="0" w:space="0" w:color="auto"/>
          </w:divBdr>
          <w:divsChild>
            <w:div w:id="1262564400">
              <w:marLeft w:val="0"/>
              <w:marRight w:val="0"/>
              <w:marTop w:val="0"/>
              <w:marBottom w:val="0"/>
              <w:divBdr>
                <w:top w:val="none" w:sz="0" w:space="0" w:color="auto"/>
                <w:left w:val="none" w:sz="0" w:space="0" w:color="auto"/>
                <w:bottom w:val="none" w:sz="0" w:space="0" w:color="auto"/>
                <w:right w:val="none" w:sz="0" w:space="0" w:color="auto"/>
              </w:divBdr>
              <w:divsChild>
                <w:div w:id="1957520566">
                  <w:marLeft w:val="0"/>
                  <w:marRight w:val="0"/>
                  <w:marTop w:val="0"/>
                  <w:marBottom w:val="0"/>
                  <w:divBdr>
                    <w:top w:val="none" w:sz="0" w:space="0" w:color="auto"/>
                    <w:left w:val="none" w:sz="0" w:space="0" w:color="auto"/>
                    <w:bottom w:val="none" w:sz="0" w:space="0" w:color="auto"/>
                    <w:right w:val="none" w:sz="0" w:space="0" w:color="auto"/>
                  </w:divBdr>
                  <w:divsChild>
                    <w:div w:id="1959069391">
                      <w:marLeft w:val="0"/>
                      <w:marRight w:val="0"/>
                      <w:marTop w:val="0"/>
                      <w:marBottom w:val="0"/>
                      <w:divBdr>
                        <w:top w:val="none" w:sz="0" w:space="0" w:color="auto"/>
                        <w:left w:val="none" w:sz="0" w:space="0" w:color="auto"/>
                        <w:bottom w:val="none" w:sz="0" w:space="0" w:color="auto"/>
                        <w:right w:val="none" w:sz="0" w:space="0" w:color="auto"/>
                      </w:divBdr>
                      <w:divsChild>
                        <w:div w:id="1051534128">
                          <w:marLeft w:val="300"/>
                          <w:marRight w:val="0"/>
                          <w:marTop w:val="0"/>
                          <w:marBottom w:val="0"/>
                          <w:divBdr>
                            <w:top w:val="none" w:sz="0" w:space="0" w:color="auto"/>
                            <w:left w:val="none" w:sz="0" w:space="0" w:color="auto"/>
                            <w:bottom w:val="none" w:sz="0" w:space="0" w:color="auto"/>
                            <w:right w:val="none" w:sz="0" w:space="0" w:color="auto"/>
                          </w:divBdr>
                          <w:divsChild>
                            <w:div w:id="1427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468">
                      <w:marLeft w:val="0"/>
                      <w:marRight w:val="0"/>
                      <w:marTop w:val="0"/>
                      <w:marBottom w:val="0"/>
                      <w:divBdr>
                        <w:top w:val="none" w:sz="0" w:space="0" w:color="auto"/>
                        <w:left w:val="none" w:sz="0" w:space="0" w:color="auto"/>
                        <w:bottom w:val="none" w:sz="0" w:space="0" w:color="auto"/>
                        <w:right w:val="none" w:sz="0" w:space="0" w:color="auto"/>
                      </w:divBdr>
                      <w:divsChild>
                        <w:div w:id="2121489782">
                          <w:marLeft w:val="300"/>
                          <w:marRight w:val="300"/>
                          <w:marTop w:val="0"/>
                          <w:marBottom w:val="150"/>
                          <w:divBdr>
                            <w:top w:val="none" w:sz="0" w:space="0" w:color="auto"/>
                            <w:left w:val="none" w:sz="0" w:space="0" w:color="auto"/>
                            <w:bottom w:val="none" w:sz="0" w:space="0" w:color="auto"/>
                            <w:right w:val="none" w:sz="0" w:space="0" w:color="auto"/>
                          </w:divBdr>
                          <w:divsChild>
                            <w:div w:id="949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57739">
      <w:bodyDiv w:val="1"/>
      <w:marLeft w:val="0"/>
      <w:marRight w:val="0"/>
      <w:marTop w:val="0"/>
      <w:marBottom w:val="0"/>
      <w:divBdr>
        <w:top w:val="none" w:sz="0" w:space="0" w:color="auto"/>
        <w:left w:val="none" w:sz="0" w:space="0" w:color="auto"/>
        <w:bottom w:val="none" w:sz="0" w:space="0" w:color="auto"/>
        <w:right w:val="none" w:sz="0" w:space="0" w:color="auto"/>
      </w:divBdr>
    </w:div>
    <w:div w:id="979571849">
      <w:bodyDiv w:val="1"/>
      <w:marLeft w:val="0"/>
      <w:marRight w:val="0"/>
      <w:marTop w:val="0"/>
      <w:marBottom w:val="0"/>
      <w:divBdr>
        <w:top w:val="none" w:sz="0" w:space="0" w:color="auto"/>
        <w:left w:val="none" w:sz="0" w:space="0" w:color="auto"/>
        <w:bottom w:val="none" w:sz="0" w:space="0" w:color="auto"/>
        <w:right w:val="none" w:sz="0" w:space="0" w:color="auto"/>
      </w:divBdr>
      <w:divsChild>
        <w:div w:id="1888763313">
          <w:marLeft w:val="0"/>
          <w:marRight w:val="0"/>
          <w:marTop w:val="0"/>
          <w:marBottom w:val="0"/>
          <w:divBdr>
            <w:top w:val="none" w:sz="0" w:space="0" w:color="auto"/>
            <w:left w:val="none" w:sz="0" w:space="0" w:color="auto"/>
            <w:bottom w:val="none" w:sz="0" w:space="0" w:color="auto"/>
            <w:right w:val="none" w:sz="0" w:space="0" w:color="auto"/>
          </w:divBdr>
          <w:divsChild>
            <w:div w:id="941034256">
              <w:marLeft w:val="0"/>
              <w:marRight w:val="0"/>
              <w:marTop w:val="0"/>
              <w:marBottom w:val="0"/>
              <w:divBdr>
                <w:top w:val="none" w:sz="0" w:space="0" w:color="auto"/>
                <w:left w:val="none" w:sz="0" w:space="0" w:color="auto"/>
                <w:bottom w:val="none" w:sz="0" w:space="0" w:color="auto"/>
                <w:right w:val="none" w:sz="0" w:space="0" w:color="auto"/>
              </w:divBdr>
              <w:divsChild>
                <w:div w:id="116458287">
                  <w:marLeft w:val="0"/>
                  <w:marRight w:val="0"/>
                  <w:marTop w:val="0"/>
                  <w:marBottom w:val="0"/>
                  <w:divBdr>
                    <w:top w:val="none" w:sz="0" w:space="0" w:color="auto"/>
                    <w:left w:val="none" w:sz="0" w:space="0" w:color="auto"/>
                    <w:bottom w:val="none" w:sz="0" w:space="0" w:color="auto"/>
                    <w:right w:val="none" w:sz="0" w:space="0" w:color="auto"/>
                  </w:divBdr>
                  <w:divsChild>
                    <w:div w:id="1546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3130">
      <w:bodyDiv w:val="1"/>
      <w:marLeft w:val="0"/>
      <w:marRight w:val="0"/>
      <w:marTop w:val="0"/>
      <w:marBottom w:val="0"/>
      <w:divBdr>
        <w:top w:val="none" w:sz="0" w:space="0" w:color="auto"/>
        <w:left w:val="none" w:sz="0" w:space="0" w:color="auto"/>
        <w:bottom w:val="none" w:sz="0" w:space="0" w:color="auto"/>
        <w:right w:val="none" w:sz="0" w:space="0" w:color="auto"/>
      </w:divBdr>
    </w:div>
    <w:div w:id="1044791364">
      <w:bodyDiv w:val="1"/>
      <w:marLeft w:val="0"/>
      <w:marRight w:val="0"/>
      <w:marTop w:val="0"/>
      <w:marBottom w:val="0"/>
      <w:divBdr>
        <w:top w:val="none" w:sz="0" w:space="0" w:color="auto"/>
        <w:left w:val="none" w:sz="0" w:space="0" w:color="auto"/>
        <w:bottom w:val="none" w:sz="0" w:space="0" w:color="auto"/>
        <w:right w:val="none" w:sz="0" w:space="0" w:color="auto"/>
      </w:divBdr>
    </w:div>
    <w:div w:id="1063023663">
      <w:bodyDiv w:val="1"/>
      <w:marLeft w:val="0"/>
      <w:marRight w:val="0"/>
      <w:marTop w:val="0"/>
      <w:marBottom w:val="0"/>
      <w:divBdr>
        <w:top w:val="none" w:sz="0" w:space="0" w:color="auto"/>
        <w:left w:val="none" w:sz="0" w:space="0" w:color="auto"/>
        <w:bottom w:val="none" w:sz="0" w:space="0" w:color="auto"/>
        <w:right w:val="none" w:sz="0" w:space="0" w:color="auto"/>
      </w:divBdr>
    </w:div>
    <w:div w:id="117718485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539196531">
      <w:bodyDiv w:val="1"/>
      <w:marLeft w:val="0"/>
      <w:marRight w:val="0"/>
      <w:marTop w:val="0"/>
      <w:marBottom w:val="0"/>
      <w:divBdr>
        <w:top w:val="none" w:sz="0" w:space="0" w:color="auto"/>
        <w:left w:val="none" w:sz="0" w:space="0" w:color="auto"/>
        <w:bottom w:val="none" w:sz="0" w:space="0" w:color="auto"/>
        <w:right w:val="none" w:sz="0" w:space="0" w:color="auto"/>
      </w:divBdr>
    </w:div>
    <w:div w:id="1591431185">
      <w:bodyDiv w:val="1"/>
      <w:marLeft w:val="0"/>
      <w:marRight w:val="0"/>
      <w:marTop w:val="0"/>
      <w:marBottom w:val="0"/>
      <w:divBdr>
        <w:top w:val="none" w:sz="0" w:space="0" w:color="auto"/>
        <w:left w:val="none" w:sz="0" w:space="0" w:color="auto"/>
        <w:bottom w:val="none" w:sz="0" w:space="0" w:color="auto"/>
        <w:right w:val="none" w:sz="0" w:space="0" w:color="auto"/>
      </w:divBdr>
      <w:divsChild>
        <w:div w:id="138230267">
          <w:marLeft w:val="0"/>
          <w:marRight w:val="0"/>
          <w:marTop w:val="0"/>
          <w:marBottom w:val="0"/>
          <w:divBdr>
            <w:top w:val="none" w:sz="0" w:space="0" w:color="auto"/>
            <w:left w:val="none" w:sz="0" w:space="0" w:color="auto"/>
            <w:bottom w:val="none" w:sz="0" w:space="0" w:color="auto"/>
            <w:right w:val="none" w:sz="0" w:space="0" w:color="auto"/>
          </w:divBdr>
          <w:divsChild>
            <w:div w:id="574246644">
              <w:marLeft w:val="0"/>
              <w:marRight w:val="0"/>
              <w:marTop w:val="0"/>
              <w:marBottom w:val="0"/>
              <w:divBdr>
                <w:top w:val="none" w:sz="0" w:space="0" w:color="auto"/>
                <w:left w:val="none" w:sz="0" w:space="0" w:color="auto"/>
                <w:bottom w:val="none" w:sz="0" w:space="0" w:color="auto"/>
                <w:right w:val="none" w:sz="0" w:space="0" w:color="auto"/>
              </w:divBdr>
              <w:divsChild>
                <w:div w:id="542644567">
                  <w:marLeft w:val="0"/>
                  <w:marRight w:val="0"/>
                  <w:marTop w:val="0"/>
                  <w:marBottom w:val="0"/>
                  <w:divBdr>
                    <w:top w:val="none" w:sz="0" w:space="0" w:color="auto"/>
                    <w:left w:val="none" w:sz="0" w:space="0" w:color="auto"/>
                    <w:bottom w:val="none" w:sz="0" w:space="0" w:color="auto"/>
                    <w:right w:val="none" w:sz="0" w:space="0" w:color="auto"/>
                  </w:divBdr>
                  <w:divsChild>
                    <w:div w:id="14629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8663760">
      <w:bodyDiv w:val="1"/>
      <w:marLeft w:val="0"/>
      <w:marRight w:val="0"/>
      <w:marTop w:val="0"/>
      <w:marBottom w:val="0"/>
      <w:divBdr>
        <w:top w:val="none" w:sz="0" w:space="0" w:color="auto"/>
        <w:left w:val="none" w:sz="0" w:space="0" w:color="auto"/>
        <w:bottom w:val="none" w:sz="0" w:space="0" w:color="auto"/>
        <w:right w:val="none" w:sz="0" w:space="0" w:color="auto"/>
      </w:divBdr>
    </w:div>
    <w:div w:id="1932621018">
      <w:bodyDiv w:val="1"/>
      <w:marLeft w:val="0"/>
      <w:marRight w:val="0"/>
      <w:marTop w:val="0"/>
      <w:marBottom w:val="0"/>
      <w:divBdr>
        <w:top w:val="none" w:sz="0" w:space="0" w:color="auto"/>
        <w:left w:val="none" w:sz="0" w:space="0" w:color="auto"/>
        <w:bottom w:val="none" w:sz="0" w:space="0" w:color="auto"/>
        <w:right w:val="none" w:sz="0" w:space="0" w:color="auto"/>
      </w:divBdr>
    </w:div>
    <w:div w:id="1960717095">
      <w:bodyDiv w:val="1"/>
      <w:marLeft w:val="0"/>
      <w:marRight w:val="0"/>
      <w:marTop w:val="0"/>
      <w:marBottom w:val="0"/>
      <w:divBdr>
        <w:top w:val="none" w:sz="0" w:space="0" w:color="auto"/>
        <w:left w:val="none" w:sz="0" w:space="0" w:color="auto"/>
        <w:bottom w:val="none" w:sz="0" w:space="0" w:color="auto"/>
        <w:right w:val="none" w:sz="0" w:space="0" w:color="auto"/>
      </w:divBdr>
    </w:div>
    <w:div w:id="2020737791">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vo.org.uk/help-and-guidance/setting-up/understanding-social-enterprise/" TargetMode="External"/><Relationship Id="rId18" Type="http://schemas.openxmlformats.org/officeDocument/2006/relationships/hyperlink" Target="https://www.instituteforgovernment.org.uk/explainer/local-governm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ssets.publishing.service.gov.uk/media/5a821daa40f0b6230269aecb/13-711-community-interest-companies-guidance-chapters-8-statutory-obligationstions.pdf" TargetMode="External"/><Relationship Id="rId17" Type="http://schemas.openxmlformats.org/officeDocument/2006/relationships/hyperlink" Target="https://www.universitiesuk.ac.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qaa.ac.uk/" TargetMode="External"/><Relationship Id="rId20" Type="http://schemas.openxmlformats.org/officeDocument/2006/relationships/hyperlink" Target="https://www.gov.uk/government/publications/the-7-principles-of-public-life/the-7-principles-of-public-lif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thinking-about-starting-a-community-interest-company-find-out-if-its-the-right-model-for-yo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qaa.ac.uk/the-quality-co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community-interest-companies-how-to-form-a-cic" TargetMode="External"/><Relationship Id="rId19" Type="http://schemas.openxmlformats.org/officeDocument/2006/relationships/hyperlink" Target="https://www.civilsociety.co.uk/voices/after-kids-company--could-we-be-next--the-seven-deadly-sins-of-trustee-board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eahead.co.uk/wp-content/uploads/2015/01/Managing-a-social-enterprise.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3" ma:contentTypeDescription="Create a new document." ma:contentTypeScope="" ma:versionID="6d7c1b4ea31d60d1d6d2ed9fe571ee99">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09e0767f98ae6a9892b55405526f651e"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3E28F-EA14-400D-A60E-D1E9B32CAE90}"/>
</file>

<file path=customXml/itemProps2.xml><?xml version="1.0" encoding="utf-8"?>
<ds:datastoreItem xmlns:ds="http://schemas.openxmlformats.org/officeDocument/2006/customXml" ds:itemID="{3B3ABAA4-3B19-4492-A213-1FFC56FE1D0B}">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DF8FD13F-B79B-493B-89E7-6B38C830993C}">
  <ds:schemaRefs>
    <ds:schemaRef ds:uri="http://schemas.microsoft.com/sharepoint/v3/contenttype/forms"/>
  </ds:schemaRefs>
</ds:datastoreItem>
</file>

<file path=docMetadata/LabelInfo.xml><?xml version="1.0" encoding="utf-8"?>
<clbl:labelList xmlns:clbl="http://schemas.microsoft.com/office/2020/mipLabelMetadata">
  <clbl:label id="{38aa748b-c011-4bd4-9b45-208b1d7cfd25}" enabled="1" method="Standard" siteId="{242ef33d-ef18-4a01-b294-0da2d8fc58e3}"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Thomas  Williams</cp:lastModifiedBy>
  <cp:revision>22</cp:revision>
  <dcterms:created xsi:type="dcterms:W3CDTF">2023-11-28T10:55:00Z</dcterms:created>
  <dcterms:modified xsi:type="dcterms:W3CDTF">2023-11-28T15:43:00Z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