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0A5D" w14:textId="77777777" w:rsidR="00F545E1" w:rsidRDefault="00F545E1" w:rsidP="00F545E1">
      <w:pPr>
        <w:pStyle w:val="Title"/>
      </w:pPr>
    </w:p>
    <w:p w14:paraId="27D43E12" w14:textId="5F06C7C5" w:rsidR="00F545E1" w:rsidRPr="00F545E1" w:rsidRDefault="009A4340" w:rsidP="00F545E1">
      <w:pPr>
        <w:pStyle w:val="Title"/>
        <w:rPr>
          <w:b/>
          <w:bCs/>
        </w:rPr>
      </w:pPr>
      <w:r w:rsidRPr="00F545E1">
        <w:rPr>
          <w:b/>
          <w:bCs/>
        </w:rPr>
        <w:t>Transforming Governance Resources</w:t>
      </w:r>
    </w:p>
    <w:p w14:paraId="1DDB7729" w14:textId="302573B2" w:rsidR="00602393" w:rsidRPr="00F545E1" w:rsidRDefault="00BB198E" w:rsidP="00F545E1">
      <w:pPr>
        <w:rPr>
          <w:rFonts w:ascii="Arial" w:hAnsi="Arial" w:cs="Arial"/>
        </w:rPr>
      </w:pPr>
      <w:r w:rsidRPr="000536C9">
        <w:rPr>
          <w:rFonts w:ascii="Arial" w:hAnsi="Arial" w:cs="Arial"/>
        </w:rPr>
        <w:t xml:space="preserve">The following document provides a series of resources for participants of the Transforming Governance Programme. </w:t>
      </w:r>
    </w:p>
    <w:p w14:paraId="617059CB" w14:textId="77777777" w:rsidR="004F3E31" w:rsidRPr="00F545E1" w:rsidRDefault="00602393" w:rsidP="00F545E1">
      <w:pPr>
        <w:pStyle w:val="Heading1"/>
        <w:rPr>
          <w:color w:val="44546A" w:themeColor="text2"/>
        </w:rPr>
      </w:pPr>
      <w:r w:rsidRPr="00F545E1">
        <w:rPr>
          <w:color w:val="44546A" w:themeColor="text2"/>
        </w:rPr>
        <w:t>Overview of Governance for Charity Trustees</w:t>
      </w:r>
    </w:p>
    <w:p w14:paraId="76BE4236" w14:textId="47483321" w:rsidR="008434DF" w:rsidRPr="00F545E1" w:rsidRDefault="005F177F" w:rsidP="008434DF">
      <w:pPr>
        <w:rPr>
          <w:rFonts w:ascii="Arial" w:hAnsi="Arial" w:cs="Arial"/>
          <w:b/>
          <w:bCs/>
          <w:color w:val="FF0000"/>
          <w:u w:val="single"/>
        </w:rPr>
      </w:pPr>
      <w:r w:rsidRPr="00CF50F9">
        <w:rPr>
          <w:rFonts w:ascii="ArialMT" w:hAnsi="ArialMT"/>
        </w:rPr>
        <w:t>This module provides</w:t>
      </w:r>
      <w:r w:rsidR="004F3E31" w:rsidRPr="00CF50F9">
        <w:rPr>
          <w:rFonts w:ascii="ArialMT" w:hAnsi="ArialMT"/>
        </w:rPr>
        <w:t xml:space="preserve"> </w:t>
      </w:r>
      <w:r w:rsidRPr="00CF50F9">
        <w:rPr>
          <w:rFonts w:ascii="ArialMT" w:hAnsi="ArialMT"/>
        </w:rPr>
        <w:t xml:space="preserve">an overview of </w:t>
      </w:r>
      <w:r w:rsidR="004F3E31" w:rsidRPr="00CF50F9">
        <w:rPr>
          <w:rFonts w:ascii="ArialMT" w:hAnsi="ArialMT"/>
        </w:rPr>
        <w:t>good governance,</w:t>
      </w:r>
      <w:r w:rsidRPr="00CF50F9">
        <w:rPr>
          <w:rFonts w:ascii="ArialMT" w:hAnsi="ArialMT"/>
        </w:rPr>
        <w:t xml:space="preserve"> as well as</w:t>
      </w:r>
      <w:r w:rsidR="004F3E31" w:rsidRPr="00CF50F9">
        <w:rPr>
          <w:rFonts w:ascii="ArialMT" w:hAnsi="ArialMT"/>
        </w:rPr>
        <w:t xml:space="preserve"> the roles, responsibilities and needs of Trustees. </w:t>
      </w:r>
    </w:p>
    <w:p w14:paraId="656B79EE" w14:textId="77777777" w:rsidR="00A94987" w:rsidRDefault="00A94987" w:rsidP="00F545E1">
      <w:pPr>
        <w:pStyle w:val="Heading2"/>
        <w:rPr>
          <w:lang w:val="en-US"/>
        </w:rPr>
      </w:pPr>
      <w:r>
        <w:rPr>
          <w:lang w:val="en-US"/>
        </w:rPr>
        <w:t>Charitable Purposes</w:t>
      </w:r>
    </w:p>
    <w:p w14:paraId="52117028" w14:textId="77777777" w:rsidR="006E28D8" w:rsidRDefault="006E28D8" w:rsidP="006E28D8">
      <w:pPr>
        <w:pStyle w:val="NoSpacing"/>
        <w:rPr>
          <w:rFonts w:ascii="Arial" w:hAnsi="Arial" w:cs="Arial"/>
        </w:rPr>
      </w:pPr>
      <w:r w:rsidRPr="00977DC6">
        <w:rPr>
          <w:rFonts w:ascii="Arial" w:hAnsi="Arial" w:cs="Arial"/>
        </w:rPr>
        <w:t>To be a charity, an organisation must have exclusively charitable purposes and must operate for the public benefit, not the benefit of specific individuals. The Charities Act 2011 (consolidating 2006, 1993 and other laws) contains 13 descriptions of purposes:</w:t>
      </w:r>
    </w:p>
    <w:p w14:paraId="020890EB" w14:textId="77777777" w:rsidR="006E28D8" w:rsidRPr="00AC2FDD" w:rsidRDefault="006E28D8" w:rsidP="006E28D8">
      <w:pPr>
        <w:pStyle w:val="NoSpacing"/>
        <w:rPr>
          <w:rFonts w:ascii="Arial" w:hAnsi="Arial" w:cs="Arial"/>
          <w:sz w:val="10"/>
          <w:szCs w:val="10"/>
        </w:rPr>
      </w:pPr>
    </w:p>
    <w:p w14:paraId="1DAC2771"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prevention or relief of poverty.</w:t>
      </w:r>
    </w:p>
    <w:p w14:paraId="7071EA00"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education.</w:t>
      </w:r>
    </w:p>
    <w:p w14:paraId="5D2AEB93"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religion.</w:t>
      </w:r>
    </w:p>
    <w:p w14:paraId="529C3DB1"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health or the saving of lives.</w:t>
      </w:r>
    </w:p>
    <w:p w14:paraId="4EF7A097"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citizenship or community development.</w:t>
      </w:r>
    </w:p>
    <w:p w14:paraId="0CD8B346"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the arts, culture, heritage, or science.</w:t>
      </w:r>
    </w:p>
    <w:p w14:paraId="706245EA"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amateur sport.</w:t>
      </w:r>
    </w:p>
    <w:p w14:paraId="052118C6"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human rights, conflict resolution or reconciliation or the promotion of religious or racial harmony or equality and diversity.</w:t>
      </w:r>
    </w:p>
    <w:p w14:paraId="61C013A8"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environmental protection or improvement.</w:t>
      </w:r>
    </w:p>
    <w:p w14:paraId="20BF08EC"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relief of those in need by reason of youth, age, ill-health, disability, financial hardship, or another disadvantage.</w:t>
      </w:r>
    </w:p>
    <w:p w14:paraId="5BC606FF"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advancement of animal welfare.</w:t>
      </w:r>
    </w:p>
    <w:p w14:paraId="5707467E" w14:textId="77777777" w:rsidR="006E28D8" w:rsidRPr="00D2538C" w:rsidRDefault="006E28D8" w:rsidP="006E28D8">
      <w:pPr>
        <w:pStyle w:val="NoSpacing"/>
        <w:numPr>
          <w:ilvl w:val="0"/>
          <w:numId w:val="12"/>
        </w:numPr>
        <w:rPr>
          <w:rFonts w:ascii="Arial" w:hAnsi="Arial" w:cs="Arial"/>
        </w:rPr>
      </w:pPr>
      <w:r w:rsidRPr="00D2538C">
        <w:rPr>
          <w:rFonts w:ascii="Arial" w:hAnsi="Arial" w:cs="Arial"/>
        </w:rPr>
        <w:t>the promotion of the efficiency of the armed forces of the Crown; or the efficiency of the police, fire and rescue services or ambulance services.</w:t>
      </w:r>
    </w:p>
    <w:p w14:paraId="4D283227" w14:textId="77777777" w:rsidR="006E28D8" w:rsidRDefault="006E28D8" w:rsidP="006E28D8">
      <w:pPr>
        <w:pStyle w:val="NoSpacing"/>
        <w:numPr>
          <w:ilvl w:val="0"/>
          <w:numId w:val="12"/>
        </w:numPr>
        <w:rPr>
          <w:rFonts w:ascii="Arial" w:hAnsi="Arial" w:cs="Arial"/>
        </w:rPr>
      </w:pPr>
      <w:r w:rsidRPr="00D2538C">
        <w:rPr>
          <w:rFonts w:ascii="Arial" w:hAnsi="Arial" w:cs="Arial"/>
        </w:rPr>
        <w:t>any other purposes charitable in law.</w:t>
      </w:r>
    </w:p>
    <w:p w14:paraId="1F3DEB52" w14:textId="77777777" w:rsidR="006E28D8" w:rsidRDefault="006E28D8" w:rsidP="006E28D8">
      <w:pPr>
        <w:pStyle w:val="NoSpacing"/>
        <w:rPr>
          <w:rFonts w:ascii="Arial" w:hAnsi="Arial" w:cs="Arial"/>
        </w:rPr>
      </w:pPr>
    </w:p>
    <w:p w14:paraId="60EB415E" w14:textId="24CB2AD9" w:rsidR="006E28D8" w:rsidRPr="00F545E1" w:rsidRDefault="00000000" w:rsidP="00F545E1">
      <w:pPr>
        <w:pStyle w:val="NoSpacing"/>
        <w:rPr>
          <w:rFonts w:ascii="Arial" w:hAnsi="Arial" w:cs="Arial"/>
        </w:rPr>
      </w:pPr>
      <w:hyperlink r:id="rId10" w:history="1">
        <w:r w:rsidR="006E28D8" w:rsidRPr="004110C1">
          <w:rPr>
            <w:rStyle w:val="Hyperlink"/>
            <w:rFonts w:ascii="Arial" w:hAnsi="Arial" w:cs="Arial"/>
          </w:rPr>
          <w:t>Full Resource Here</w:t>
        </w:r>
      </w:hyperlink>
    </w:p>
    <w:p w14:paraId="30AEABDC" w14:textId="6731830A" w:rsidR="002676A3" w:rsidRPr="00F545E1" w:rsidRDefault="00EE2ABB" w:rsidP="00F545E1">
      <w:pPr>
        <w:pStyle w:val="Heading2"/>
      </w:pPr>
      <w:r w:rsidRPr="00F545E1">
        <w:t xml:space="preserve">Charity Commission: </w:t>
      </w:r>
      <w:r w:rsidR="002676A3" w:rsidRPr="00F545E1">
        <w:t>The Essential Trustee</w:t>
      </w:r>
    </w:p>
    <w:p w14:paraId="715B3F43" w14:textId="5E4FC266" w:rsidR="008777DF" w:rsidRPr="000536C9" w:rsidRDefault="008777DF" w:rsidP="002676A3">
      <w:pPr>
        <w:rPr>
          <w:rFonts w:ascii="Arial" w:hAnsi="Arial" w:cs="Arial"/>
          <w:shd w:val="clear" w:color="auto" w:fill="FFFFFF"/>
        </w:rPr>
      </w:pPr>
      <w:r w:rsidRPr="000536C9">
        <w:rPr>
          <w:rFonts w:ascii="Arial" w:hAnsi="Arial" w:cs="Arial"/>
          <w:shd w:val="clear" w:color="auto" w:fill="FFFFFF"/>
        </w:rPr>
        <w:t>This guidance explains the key duties of all trustees of charities in England and Wales, and what trustees need to do to carry out these duties competently.</w:t>
      </w:r>
    </w:p>
    <w:p w14:paraId="2B7E9C6B" w14:textId="09F4C0B5" w:rsidR="008777DF" w:rsidRPr="000536C9" w:rsidRDefault="008777DF" w:rsidP="008777DF">
      <w:pPr>
        <w:spacing w:before="300" w:after="300"/>
        <w:rPr>
          <w:rFonts w:ascii="Arial" w:eastAsia="Times New Roman" w:hAnsi="Arial" w:cs="Arial"/>
          <w:lang w:eastAsia="en-GB"/>
        </w:rPr>
      </w:pPr>
      <w:r w:rsidRPr="000536C9">
        <w:rPr>
          <w:rFonts w:ascii="Arial" w:eastAsia="Times New Roman" w:hAnsi="Arial" w:cs="Arial"/>
          <w:lang w:eastAsia="en-GB"/>
        </w:rPr>
        <w:t>Trustees have independent control over, and legal responsibility for, a charity’s management and administration. They play a very important role, almost always unpaid, in a sector that contributes significantly to the character and wellbeing of the country.</w:t>
      </w:r>
    </w:p>
    <w:p w14:paraId="5F01BD18" w14:textId="0F340FB1" w:rsidR="002676A3" w:rsidRPr="000536C9" w:rsidRDefault="008777DF" w:rsidP="00F545E1">
      <w:pPr>
        <w:pStyle w:val="Heading2"/>
      </w:pPr>
      <w:r w:rsidRPr="000536C9">
        <w:rPr>
          <w:shd w:val="clear" w:color="auto" w:fill="FFFFFF"/>
        </w:rPr>
        <w:t xml:space="preserve">There are </w:t>
      </w:r>
      <w:r w:rsidRPr="000536C9">
        <w:t>six</w:t>
      </w:r>
      <w:r w:rsidR="002676A3" w:rsidRPr="000536C9">
        <w:t xml:space="preserve"> </w:t>
      </w:r>
      <w:r w:rsidRPr="000536C9">
        <w:t>m</w:t>
      </w:r>
      <w:r w:rsidR="002676A3" w:rsidRPr="000536C9">
        <w:t xml:space="preserve">ain </w:t>
      </w:r>
      <w:r w:rsidRPr="000536C9">
        <w:t>d</w:t>
      </w:r>
      <w:r w:rsidR="002676A3" w:rsidRPr="000536C9">
        <w:t xml:space="preserve">uties </w:t>
      </w:r>
      <w:r w:rsidR="00EE2ABB" w:rsidRPr="000536C9">
        <w:t>of a Trustee</w:t>
      </w:r>
      <w:r w:rsidR="00F545E1">
        <w:t>:</w:t>
      </w:r>
    </w:p>
    <w:p w14:paraId="60C02EAA" w14:textId="77777777" w:rsidR="002676A3" w:rsidRPr="000536C9" w:rsidRDefault="002676A3" w:rsidP="002676A3">
      <w:pPr>
        <w:numPr>
          <w:ilvl w:val="0"/>
          <w:numId w:val="1"/>
        </w:numPr>
        <w:rPr>
          <w:rFonts w:ascii="Arial" w:hAnsi="Arial" w:cs="Arial"/>
        </w:rPr>
      </w:pPr>
      <w:r w:rsidRPr="000536C9">
        <w:rPr>
          <w:rFonts w:ascii="Arial" w:hAnsi="Arial" w:cs="Arial"/>
        </w:rPr>
        <w:t xml:space="preserve">Ensure your charity is carrying out its purposes for the public </w:t>
      </w:r>
      <w:proofErr w:type="gramStart"/>
      <w:r w:rsidRPr="000536C9">
        <w:rPr>
          <w:rFonts w:ascii="Arial" w:hAnsi="Arial" w:cs="Arial"/>
        </w:rPr>
        <w:t>benefit</w:t>
      </w:r>
      <w:proofErr w:type="gramEnd"/>
    </w:p>
    <w:p w14:paraId="47CB0DA5" w14:textId="77777777" w:rsidR="002676A3" w:rsidRPr="000536C9" w:rsidRDefault="002676A3" w:rsidP="002676A3">
      <w:pPr>
        <w:numPr>
          <w:ilvl w:val="0"/>
          <w:numId w:val="1"/>
        </w:numPr>
        <w:rPr>
          <w:rFonts w:ascii="Arial" w:hAnsi="Arial" w:cs="Arial"/>
        </w:rPr>
      </w:pPr>
      <w:r w:rsidRPr="000536C9">
        <w:rPr>
          <w:rFonts w:ascii="Arial" w:hAnsi="Arial" w:cs="Arial"/>
        </w:rPr>
        <w:t>Comply with your charity’s governing document and the law</w:t>
      </w:r>
    </w:p>
    <w:p w14:paraId="53D73D45" w14:textId="77777777" w:rsidR="002676A3" w:rsidRPr="000536C9" w:rsidRDefault="002676A3" w:rsidP="002676A3">
      <w:pPr>
        <w:numPr>
          <w:ilvl w:val="0"/>
          <w:numId w:val="1"/>
        </w:numPr>
        <w:rPr>
          <w:rFonts w:ascii="Arial" w:hAnsi="Arial" w:cs="Arial"/>
        </w:rPr>
      </w:pPr>
      <w:r w:rsidRPr="000536C9">
        <w:rPr>
          <w:rFonts w:ascii="Arial" w:hAnsi="Arial" w:cs="Arial"/>
        </w:rPr>
        <w:t>Act in your charity’s best interests</w:t>
      </w:r>
    </w:p>
    <w:p w14:paraId="0356611A" w14:textId="77777777" w:rsidR="002676A3" w:rsidRPr="000536C9" w:rsidRDefault="002676A3" w:rsidP="002676A3">
      <w:pPr>
        <w:numPr>
          <w:ilvl w:val="0"/>
          <w:numId w:val="1"/>
        </w:numPr>
        <w:rPr>
          <w:rFonts w:ascii="Arial" w:hAnsi="Arial" w:cs="Arial"/>
        </w:rPr>
      </w:pPr>
      <w:r w:rsidRPr="000536C9">
        <w:rPr>
          <w:rFonts w:ascii="Arial" w:hAnsi="Arial" w:cs="Arial"/>
        </w:rPr>
        <w:t>Ensure your charity is accountable</w:t>
      </w:r>
    </w:p>
    <w:p w14:paraId="23D7DE8A" w14:textId="77777777" w:rsidR="002676A3" w:rsidRPr="000536C9" w:rsidRDefault="002676A3" w:rsidP="002676A3">
      <w:pPr>
        <w:numPr>
          <w:ilvl w:val="0"/>
          <w:numId w:val="1"/>
        </w:numPr>
        <w:rPr>
          <w:rFonts w:ascii="Arial" w:hAnsi="Arial" w:cs="Arial"/>
        </w:rPr>
      </w:pPr>
      <w:r w:rsidRPr="000536C9">
        <w:rPr>
          <w:rFonts w:ascii="Arial" w:hAnsi="Arial" w:cs="Arial"/>
        </w:rPr>
        <w:lastRenderedPageBreak/>
        <w:t xml:space="preserve">Manage your charity’s resources responsibly </w:t>
      </w:r>
    </w:p>
    <w:p w14:paraId="017E8A5F" w14:textId="0437CE4F" w:rsidR="002676A3" w:rsidRPr="00F545E1" w:rsidRDefault="002676A3" w:rsidP="00EE2ABB">
      <w:pPr>
        <w:numPr>
          <w:ilvl w:val="0"/>
          <w:numId w:val="1"/>
        </w:numPr>
        <w:rPr>
          <w:rFonts w:ascii="Arial" w:hAnsi="Arial" w:cs="Arial"/>
        </w:rPr>
      </w:pPr>
      <w:r w:rsidRPr="000536C9">
        <w:rPr>
          <w:rFonts w:ascii="Arial" w:hAnsi="Arial" w:cs="Arial"/>
        </w:rPr>
        <w:t xml:space="preserve">Act with reasonable care and skill </w:t>
      </w:r>
    </w:p>
    <w:p w14:paraId="6D24B1A3" w14:textId="527CC3B7" w:rsidR="00F545E1" w:rsidRPr="006C50AD" w:rsidRDefault="00000000" w:rsidP="00F545E1">
      <w:pPr>
        <w:rPr>
          <w:rFonts w:ascii="Arial" w:hAnsi="Arial" w:cs="Arial"/>
          <w:color w:val="4472C4" w:themeColor="accent1"/>
          <w:u w:val="single"/>
        </w:rPr>
      </w:pPr>
      <w:hyperlink r:id="rId11" w:history="1">
        <w:r w:rsidR="00EE2ABB" w:rsidRPr="006C50AD">
          <w:rPr>
            <w:rStyle w:val="Hyperlink"/>
            <w:rFonts w:ascii="Arial" w:hAnsi="Arial" w:cs="Arial"/>
            <w:color w:val="4472C4" w:themeColor="accent1"/>
          </w:rPr>
          <w:t>Full Guide Here</w:t>
        </w:r>
      </w:hyperlink>
    </w:p>
    <w:p w14:paraId="46CD996F" w14:textId="33BF9FBE" w:rsidR="00F545E1" w:rsidRPr="00F545E1" w:rsidRDefault="008E3153" w:rsidP="00F545E1">
      <w:pPr>
        <w:pStyle w:val="Heading2"/>
        <w:rPr>
          <w:lang w:val="en-US"/>
        </w:rPr>
      </w:pPr>
      <w:r w:rsidRPr="000536C9">
        <w:rPr>
          <w:lang w:val="en-US"/>
        </w:rPr>
        <w:t>The</w:t>
      </w:r>
      <w:r w:rsidR="003D6625" w:rsidRPr="000536C9">
        <w:rPr>
          <w:lang w:val="en-US"/>
        </w:rPr>
        <w:t xml:space="preserve"> </w:t>
      </w:r>
      <w:r w:rsidR="002D7303" w:rsidRPr="000536C9">
        <w:rPr>
          <w:lang w:val="en-US"/>
        </w:rPr>
        <w:t xml:space="preserve">Charity Governance Code </w:t>
      </w:r>
    </w:p>
    <w:p w14:paraId="0D0EC41C" w14:textId="59D10805" w:rsidR="008E3153" w:rsidRPr="000536C9" w:rsidRDefault="000170CC" w:rsidP="000170CC">
      <w:pPr>
        <w:rPr>
          <w:rFonts w:ascii="Arial" w:hAnsi="Arial" w:cs="Arial"/>
          <w:lang w:val="en-US"/>
        </w:rPr>
      </w:pPr>
      <w:r w:rsidRPr="000536C9">
        <w:rPr>
          <w:rFonts w:ascii="Arial" w:hAnsi="Arial" w:cs="Arial"/>
          <w:lang w:val="en-US"/>
        </w:rPr>
        <w:t>Launched in July 2017 by NCVO along with steering group partners, the Code’s aim is to help charities and Trustees achieve high standards of governance.</w:t>
      </w:r>
    </w:p>
    <w:p w14:paraId="173FB493" w14:textId="376E0052" w:rsidR="003D6625" w:rsidRPr="000536C9" w:rsidRDefault="008E3153" w:rsidP="00A83964">
      <w:pPr>
        <w:spacing w:after="150"/>
        <w:rPr>
          <w:rFonts w:ascii="Arial" w:eastAsia="Times New Roman" w:hAnsi="Arial" w:cs="Arial"/>
          <w:lang w:eastAsia="en-GB"/>
        </w:rPr>
      </w:pPr>
      <w:r w:rsidRPr="000536C9">
        <w:rPr>
          <w:rFonts w:ascii="Arial" w:eastAsia="Times New Roman" w:hAnsi="Arial" w:cs="Arial"/>
          <w:lang w:eastAsia="en-GB"/>
        </w:rPr>
        <w:t>Good governance is fundamental to a charity’s success. It enables and supports a charity’s compliance with the law and relevant regulations. It also promotes a culture in which everything works towards fulfilling the charity’s vision</w:t>
      </w:r>
      <w:r w:rsidR="00A83964" w:rsidRPr="000536C9">
        <w:rPr>
          <w:rFonts w:ascii="Arial" w:eastAsia="Times New Roman" w:hAnsi="Arial" w:cs="Arial"/>
          <w:lang w:eastAsia="en-GB"/>
        </w:rPr>
        <w:t xml:space="preserve"> and </w:t>
      </w:r>
      <w:r w:rsidR="00A83964" w:rsidRPr="000536C9">
        <w:rPr>
          <w:rFonts w:ascii="Arial" w:hAnsi="Arial" w:cs="Arial"/>
          <w:shd w:val="clear" w:color="auto" w:fill="FFFFFF"/>
        </w:rPr>
        <w:t>is a practical tool to help charities and their trustees develop high standards of governance.</w:t>
      </w:r>
    </w:p>
    <w:p w14:paraId="3B84FE8B" w14:textId="5BC3D478" w:rsidR="0020218A" w:rsidRPr="000536C9" w:rsidRDefault="0020218A" w:rsidP="003639AA">
      <w:pPr>
        <w:pStyle w:val="NoSpacing"/>
        <w:rPr>
          <w:rFonts w:ascii="Arial" w:hAnsi="Arial" w:cs="Arial"/>
          <w:lang w:eastAsia="en-GB"/>
        </w:rPr>
      </w:pPr>
      <w:r w:rsidRPr="000536C9">
        <w:rPr>
          <w:rFonts w:ascii="Arial" w:hAnsi="Arial" w:cs="Arial"/>
          <w:lang w:eastAsia="en-GB"/>
        </w:rPr>
        <w:t xml:space="preserve">There are seven principles which make up this Code. These seven principles build on the assumption that a charity is meeting its legal and regulatory responsibilities as a foundation. </w:t>
      </w:r>
    </w:p>
    <w:p w14:paraId="79147A47" w14:textId="77777777" w:rsidR="003639AA" w:rsidRPr="000536C9" w:rsidRDefault="003639AA" w:rsidP="003639AA">
      <w:pPr>
        <w:pStyle w:val="NoSpacing"/>
        <w:rPr>
          <w:rFonts w:ascii="Arial" w:hAnsi="Arial" w:cs="Arial"/>
          <w:lang w:eastAsia="en-GB"/>
        </w:rPr>
      </w:pPr>
    </w:p>
    <w:p w14:paraId="4B666B72" w14:textId="59601AA8" w:rsidR="0020218A" w:rsidRPr="006C50AD" w:rsidRDefault="00000000">
      <w:pPr>
        <w:rPr>
          <w:rFonts w:ascii="Arial" w:hAnsi="Arial" w:cs="Arial"/>
          <w:color w:val="4472C4" w:themeColor="accent1"/>
        </w:rPr>
      </w:pPr>
      <w:hyperlink r:id="rId12" w:history="1">
        <w:r w:rsidR="003D6625" w:rsidRPr="006C50AD">
          <w:rPr>
            <w:rStyle w:val="Hyperlink"/>
            <w:rFonts w:ascii="Arial" w:hAnsi="Arial" w:cs="Arial"/>
            <w:color w:val="4472C4" w:themeColor="accent1"/>
          </w:rPr>
          <w:t>Full Code Here</w:t>
        </w:r>
      </w:hyperlink>
    </w:p>
    <w:p w14:paraId="4530B660" w14:textId="7F7E415C" w:rsidR="00CE6D4B" w:rsidRPr="000536C9" w:rsidRDefault="00CE6D4B" w:rsidP="00F545E1">
      <w:pPr>
        <w:pStyle w:val="Heading2"/>
      </w:pPr>
      <w:r w:rsidRPr="000536C9">
        <w:t>The Seven Deadly Sins of Boards</w:t>
      </w:r>
    </w:p>
    <w:p w14:paraId="6FD4552B" w14:textId="56EB88AE" w:rsidR="00F552CC" w:rsidRPr="00F545E1" w:rsidRDefault="005155E6">
      <w:pPr>
        <w:rPr>
          <w:rFonts w:ascii="Arial" w:hAnsi="Arial" w:cs="Arial"/>
        </w:rPr>
      </w:pPr>
      <w:r w:rsidRPr="000536C9">
        <w:rPr>
          <w:rFonts w:ascii="Arial" w:hAnsi="Arial" w:cs="Arial"/>
          <w:i/>
          <w:iCs/>
          <w:lang w:val="en-US"/>
        </w:rPr>
        <w:t>John Williams, Civil Society, 2016</w:t>
      </w:r>
      <w:r w:rsidRPr="000536C9">
        <w:rPr>
          <w:rFonts w:ascii="Arial" w:hAnsi="Arial" w:cs="Arial"/>
        </w:rPr>
        <w:t xml:space="preserve"> </w:t>
      </w:r>
    </w:p>
    <w:p w14:paraId="6F5D5F15" w14:textId="3D1C18CD" w:rsidR="003639AA" w:rsidRPr="000536C9" w:rsidRDefault="006260B8">
      <w:pPr>
        <w:rPr>
          <w:rFonts w:ascii="Arial" w:hAnsi="Arial" w:cs="Arial"/>
        </w:rPr>
      </w:pPr>
      <w:r w:rsidRPr="000536C9">
        <w:rPr>
          <w:rFonts w:ascii="Arial" w:hAnsi="Arial" w:cs="Arial"/>
        </w:rPr>
        <w:t>John Williams, the Vice Chair of Association of Chairs, looks at the most common failings of charity boards</w:t>
      </w:r>
      <w:r w:rsidR="003639AA" w:rsidRPr="000536C9">
        <w:rPr>
          <w:rFonts w:ascii="Arial" w:hAnsi="Arial" w:cs="Arial"/>
        </w:rPr>
        <w:t xml:space="preserve">: </w:t>
      </w:r>
    </w:p>
    <w:p w14:paraId="10296A37" w14:textId="2D0AA88B" w:rsidR="003639AA" w:rsidRPr="000536C9" w:rsidRDefault="003639AA" w:rsidP="003639AA">
      <w:pPr>
        <w:pStyle w:val="ListParagraph"/>
        <w:numPr>
          <w:ilvl w:val="0"/>
          <w:numId w:val="2"/>
        </w:numPr>
        <w:rPr>
          <w:rFonts w:ascii="Arial" w:hAnsi="Arial" w:cs="Arial"/>
        </w:rPr>
      </w:pPr>
      <w:r w:rsidRPr="000536C9">
        <w:rPr>
          <w:rFonts w:ascii="Arial" w:hAnsi="Arial" w:cs="Arial"/>
        </w:rPr>
        <w:t>No formal evaluation</w:t>
      </w:r>
    </w:p>
    <w:p w14:paraId="05C15EC2" w14:textId="6DF3F57C" w:rsidR="003639AA" w:rsidRPr="000536C9" w:rsidRDefault="003639AA" w:rsidP="003639AA">
      <w:pPr>
        <w:pStyle w:val="ListParagraph"/>
        <w:numPr>
          <w:ilvl w:val="0"/>
          <w:numId w:val="2"/>
        </w:numPr>
        <w:rPr>
          <w:rFonts w:ascii="Arial" w:hAnsi="Arial" w:cs="Arial"/>
        </w:rPr>
      </w:pPr>
      <w:r w:rsidRPr="000536C9">
        <w:rPr>
          <w:rFonts w:ascii="Arial" w:hAnsi="Arial" w:cs="Arial"/>
        </w:rPr>
        <w:t>Lack of finite terms of office</w:t>
      </w:r>
    </w:p>
    <w:p w14:paraId="5D2EBF98" w14:textId="59E1B8F1" w:rsidR="003639AA" w:rsidRPr="000536C9" w:rsidRDefault="003639AA" w:rsidP="003639AA">
      <w:pPr>
        <w:pStyle w:val="ListParagraph"/>
        <w:numPr>
          <w:ilvl w:val="0"/>
          <w:numId w:val="2"/>
        </w:numPr>
        <w:rPr>
          <w:rFonts w:ascii="Arial" w:hAnsi="Arial" w:cs="Arial"/>
        </w:rPr>
      </w:pPr>
      <w:r w:rsidRPr="000536C9">
        <w:rPr>
          <w:rFonts w:ascii="Arial" w:hAnsi="Arial" w:cs="Arial"/>
        </w:rPr>
        <w:t xml:space="preserve">Not enough attention to sustainability and risk </w:t>
      </w:r>
    </w:p>
    <w:p w14:paraId="3F1CC6F3" w14:textId="248A624F" w:rsidR="003639AA" w:rsidRPr="000536C9" w:rsidRDefault="003639AA" w:rsidP="003639AA">
      <w:pPr>
        <w:pStyle w:val="ListParagraph"/>
        <w:numPr>
          <w:ilvl w:val="0"/>
          <w:numId w:val="2"/>
        </w:numPr>
        <w:rPr>
          <w:rFonts w:ascii="Arial" w:hAnsi="Arial" w:cs="Arial"/>
        </w:rPr>
      </w:pPr>
      <w:r w:rsidRPr="000536C9">
        <w:rPr>
          <w:rFonts w:ascii="Arial" w:hAnsi="Arial" w:cs="Arial"/>
        </w:rPr>
        <w:t>Skimping on recruitment</w:t>
      </w:r>
    </w:p>
    <w:p w14:paraId="1506CFA5" w14:textId="5378BFBB" w:rsidR="003639AA" w:rsidRPr="000536C9" w:rsidRDefault="003639AA" w:rsidP="003639AA">
      <w:pPr>
        <w:pStyle w:val="ListParagraph"/>
        <w:numPr>
          <w:ilvl w:val="0"/>
          <w:numId w:val="2"/>
        </w:numPr>
        <w:rPr>
          <w:rFonts w:ascii="Arial" w:hAnsi="Arial" w:cs="Arial"/>
        </w:rPr>
      </w:pPr>
      <w:r w:rsidRPr="000536C9">
        <w:rPr>
          <w:rFonts w:ascii="Arial" w:hAnsi="Arial" w:cs="Arial"/>
        </w:rPr>
        <w:t>Lack of engagement between meetings</w:t>
      </w:r>
    </w:p>
    <w:p w14:paraId="3B6FA646" w14:textId="42BE879C" w:rsidR="003639AA" w:rsidRPr="000536C9" w:rsidRDefault="003639AA" w:rsidP="003639AA">
      <w:pPr>
        <w:pStyle w:val="ListParagraph"/>
        <w:numPr>
          <w:ilvl w:val="0"/>
          <w:numId w:val="2"/>
        </w:numPr>
        <w:rPr>
          <w:rFonts w:ascii="Arial" w:hAnsi="Arial" w:cs="Arial"/>
        </w:rPr>
      </w:pPr>
      <w:r w:rsidRPr="000536C9">
        <w:rPr>
          <w:rFonts w:ascii="Arial" w:hAnsi="Arial" w:cs="Arial"/>
        </w:rPr>
        <w:t>Lack of respect for SMT</w:t>
      </w:r>
    </w:p>
    <w:p w14:paraId="7C02DF65" w14:textId="70CACBEA" w:rsidR="006260B8" w:rsidRPr="00F545E1" w:rsidRDefault="003639AA" w:rsidP="00F545E1">
      <w:pPr>
        <w:pStyle w:val="ListParagraph"/>
        <w:numPr>
          <w:ilvl w:val="0"/>
          <w:numId w:val="2"/>
        </w:numPr>
        <w:rPr>
          <w:rFonts w:ascii="Arial" w:hAnsi="Arial" w:cs="Arial"/>
        </w:rPr>
      </w:pPr>
      <w:r w:rsidRPr="000536C9">
        <w:rPr>
          <w:rFonts w:ascii="Arial" w:hAnsi="Arial" w:cs="Arial"/>
        </w:rPr>
        <w:t>No investment in induction and training</w:t>
      </w:r>
    </w:p>
    <w:p w14:paraId="1B165F8F" w14:textId="23E6A415" w:rsidR="00516F23" w:rsidRPr="006C50AD" w:rsidRDefault="00000000">
      <w:pPr>
        <w:rPr>
          <w:rStyle w:val="Hyperlink"/>
          <w:rFonts w:ascii="Arial" w:hAnsi="Arial" w:cs="Arial"/>
          <w:color w:val="4472C4" w:themeColor="accent1"/>
        </w:rPr>
      </w:pPr>
      <w:hyperlink r:id="rId13" w:history="1">
        <w:r w:rsidR="005155E6" w:rsidRPr="006C50AD">
          <w:rPr>
            <w:rStyle w:val="Hyperlink"/>
            <w:rFonts w:ascii="Arial" w:hAnsi="Arial" w:cs="Arial"/>
            <w:color w:val="4472C4" w:themeColor="accent1"/>
          </w:rPr>
          <w:t>Full Article Here</w:t>
        </w:r>
      </w:hyperlink>
    </w:p>
    <w:p w14:paraId="3C4FD48C" w14:textId="5D99D1BB" w:rsidR="00F545E1" w:rsidRPr="00F545E1" w:rsidRDefault="00516F23" w:rsidP="00F545E1">
      <w:pPr>
        <w:pStyle w:val="Heading2"/>
      </w:pPr>
      <w:r w:rsidRPr="000536C9">
        <w:t xml:space="preserve">The Key Concerns for Charity Boards </w:t>
      </w:r>
    </w:p>
    <w:p w14:paraId="0F155B29" w14:textId="710FC8B9" w:rsidR="000771B6" w:rsidRPr="000536C9" w:rsidRDefault="000771B6" w:rsidP="000771B6">
      <w:pPr>
        <w:ind w:right="-472"/>
        <w:rPr>
          <w:rFonts w:ascii="Arial" w:hAnsi="Arial" w:cs="Arial"/>
        </w:rPr>
      </w:pPr>
      <w:r w:rsidRPr="000536C9">
        <w:rPr>
          <w:rFonts w:ascii="Arial" w:hAnsi="Arial" w:cs="Arial"/>
        </w:rPr>
        <w:t>The charity sector has faced a challenging couple of years marked by turbulence, with external influences like the COVID-19 pandemic, Brexit, inflation, and the increasing cost of living significantly affecting the operational landscape of charitable organisations.</w:t>
      </w:r>
    </w:p>
    <w:p w14:paraId="0FC7476D" w14:textId="05946097" w:rsidR="00E2607C" w:rsidRPr="000536C9" w:rsidRDefault="00E2607C" w:rsidP="00E2607C">
      <w:pPr>
        <w:rPr>
          <w:rFonts w:ascii="Arial" w:eastAsia="Times New Roman" w:hAnsi="Arial" w:cs="Arial"/>
          <w:color w:val="000000"/>
          <w:lang w:eastAsia="en-GB"/>
        </w:rPr>
      </w:pPr>
      <w:r w:rsidRPr="000536C9">
        <w:rPr>
          <w:rFonts w:ascii="Arial" w:eastAsia="Times New Roman" w:hAnsi="Arial" w:cs="Arial"/>
          <w:color w:val="000000"/>
          <w:lang w:eastAsia="en-GB"/>
        </w:rPr>
        <w:t xml:space="preserve">Charities Aid Foundation (CAF) and </w:t>
      </w:r>
      <w:r w:rsidRPr="000536C9">
        <w:rPr>
          <w:rFonts w:ascii="Arial" w:hAnsi="Arial" w:cs="Arial"/>
          <w:color w:val="4D5156"/>
          <w:shd w:val="clear" w:color="auto" w:fill="FFFFFF"/>
        </w:rPr>
        <w:t>The</w:t>
      </w:r>
      <w:r w:rsidRPr="000536C9">
        <w:rPr>
          <w:rStyle w:val="apple-converted-space"/>
          <w:rFonts w:ascii="Arial" w:hAnsi="Arial" w:cs="Arial"/>
          <w:color w:val="4D5156"/>
          <w:shd w:val="clear" w:color="auto" w:fill="FFFFFF"/>
        </w:rPr>
        <w:t> </w:t>
      </w:r>
      <w:r w:rsidRPr="000536C9">
        <w:rPr>
          <w:rStyle w:val="Emphasis"/>
          <w:rFonts w:ascii="Arial" w:hAnsi="Arial" w:cs="Arial"/>
          <w:b/>
          <w:bCs/>
          <w:i w:val="0"/>
          <w:iCs w:val="0"/>
          <w:color w:val="5F6368"/>
        </w:rPr>
        <w:t>Institute of Chartered Accountants in England and Wales</w:t>
      </w:r>
      <w:r w:rsidRPr="000536C9">
        <w:rPr>
          <w:rStyle w:val="apple-converted-space"/>
          <w:rFonts w:ascii="Arial" w:hAnsi="Arial" w:cs="Arial"/>
          <w:color w:val="4D5156"/>
          <w:shd w:val="clear" w:color="auto" w:fill="FFFFFF"/>
        </w:rPr>
        <w:t> </w:t>
      </w:r>
      <w:r w:rsidRPr="000536C9">
        <w:rPr>
          <w:rFonts w:ascii="Arial" w:eastAsia="Times New Roman" w:hAnsi="Arial" w:cs="Arial"/>
          <w:color w:val="000000"/>
          <w:lang w:eastAsia="en-GB"/>
        </w:rPr>
        <w:t>(ICAEW) came together to commission research into the challenges and opportunities facing charities and their boards, and jointly produced the report 'What's on the horizon for charity trustees?'</w:t>
      </w:r>
    </w:p>
    <w:p w14:paraId="25CB4F19" w14:textId="77777777" w:rsidR="00BB7C43" w:rsidRPr="000536C9" w:rsidRDefault="00BB7C43" w:rsidP="00BB7C43">
      <w:pPr>
        <w:numPr>
          <w:ilvl w:val="0"/>
          <w:numId w:val="3"/>
        </w:numPr>
        <w:ind w:right="-472"/>
        <w:rPr>
          <w:rFonts w:ascii="Arial" w:hAnsi="Arial" w:cs="Arial"/>
        </w:rPr>
      </w:pPr>
      <w:r w:rsidRPr="005561B9">
        <w:rPr>
          <w:rFonts w:ascii="Arial" w:hAnsi="Arial" w:cs="Arial"/>
          <w:b/>
          <w:bCs/>
        </w:rPr>
        <w:t>Financial resilience:</w:t>
      </w:r>
      <w:r w:rsidRPr="000536C9">
        <w:rPr>
          <w:rFonts w:ascii="Arial" w:hAnsi="Arial" w:cs="Arial"/>
        </w:rPr>
        <w:t xml:space="preserve"> Even charities that have secure incomes worry about protecting these or the possibility of losing them. </w:t>
      </w:r>
    </w:p>
    <w:p w14:paraId="03A63C57" w14:textId="77777777" w:rsidR="00BB7C43" w:rsidRPr="000536C9" w:rsidRDefault="00BB7C43" w:rsidP="00BB7C43">
      <w:pPr>
        <w:numPr>
          <w:ilvl w:val="0"/>
          <w:numId w:val="3"/>
        </w:numPr>
        <w:ind w:right="-472"/>
        <w:rPr>
          <w:rFonts w:ascii="Arial" w:hAnsi="Arial" w:cs="Arial"/>
        </w:rPr>
      </w:pPr>
      <w:r w:rsidRPr="005561B9">
        <w:rPr>
          <w:rFonts w:ascii="Arial" w:hAnsi="Arial" w:cs="Arial"/>
          <w:b/>
          <w:bCs/>
        </w:rPr>
        <w:t>Collaboration:</w:t>
      </w:r>
      <w:r w:rsidRPr="000536C9">
        <w:rPr>
          <w:rFonts w:ascii="Arial" w:hAnsi="Arial" w:cs="Arial"/>
        </w:rPr>
        <w:t xml:space="preserve"> The nature and involvement of a charity’s trustees can significantly impact the collaboration and culture within the organisation. </w:t>
      </w:r>
    </w:p>
    <w:p w14:paraId="1B65894F" w14:textId="77777777" w:rsidR="00BB7C43" w:rsidRPr="000536C9" w:rsidRDefault="00BB7C43" w:rsidP="00BB7C43">
      <w:pPr>
        <w:numPr>
          <w:ilvl w:val="0"/>
          <w:numId w:val="3"/>
        </w:numPr>
        <w:ind w:right="-472"/>
        <w:rPr>
          <w:rFonts w:ascii="Arial" w:hAnsi="Arial" w:cs="Arial"/>
        </w:rPr>
      </w:pPr>
      <w:r w:rsidRPr="005561B9">
        <w:rPr>
          <w:rFonts w:ascii="Arial" w:hAnsi="Arial" w:cs="Arial"/>
          <w:b/>
          <w:bCs/>
        </w:rPr>
        <w:t>Diversity:</w:t>
      </w:r>
      <w:r w:rsidRPr="000536C9">
        <w:rPr>
          <w:rFonts w:ascii="Arial" w:hAnsi="Arial" w:cs="Arial"/>
        </w:rPr>
        <w:t> Almost all trustees interviewed said that their boards were less diverse than they would like. However, they were also unsure about how to change this.</w:t>
      </w:r>
    </w:p>
    <w:p w14:paraId="21515BEA" w14:textId="77777777" w:rsidR="00BB7C43" w:rsidRPr="000536C9" w:rsidRDefault="00BB7C43" w:rsidP="00BB7C43">
      <w:pPr>
        <w:numPr>
          <w:ilvl w:val="0"/>
          <w:numId w:val="3"/>
        </w:numPr>
        <w:ind w:right="-472"/>
        <w:rPr>
          <w:rFonts w:ascii="Arial" w:hAnsi="Arial" w:cs="Arial"/>
        </w:rPr>
      </w:pPr>
      <w:r w:rsidRPr="005561B9">
        <w:rPr>
          <w:rFonts w:ascii="Arial" w:hAnsi="Arial" w:cs="Arial"/>
          <w:b/>
          <w:bCs/>
        </w:rPr>
        <w:t>Support and training:</w:t>
      </w:r>
      <w:r w:rsidRPr="000536C9">
        <w:rPr>
          <w:rFonts w:ascii="Arial" w:hAnsi="Arial" w:cs="Arial"/>
        </w:rPr>
        <w:t xml:space="preserve"> Trustees would welcome additional support, guidance, and training to bridge gaps in knowledge and experience. </w:t>
      </w:r>
    </w:p>
    <w:p w14:paraId="493FED09" w14:textId="77777777" w:rsidR="00BB7C43" w:rsidRPr="000536C9" w:rsidRDefault="00BB7C43" w:rsidP="00BB7C43">
      <w:pPr>
        <w:numPr>
          <w:ilvl w:val="0"/>
          <w:numId w:val="3"/>
        </w:numPr>
        <w:ind w:right="-472"/>
        <w:rPr>
          <w:rFonts w:ascii="Arial" w:hAnsi="Arial" w:cs="Arial"/>
        </w:rPr>
      </w:pPr>
      <w:r w:rsidRPr="005561B9">
        <w:rPr>
          <w:rFonts w:ascii="Arial" w:hAnsi="Arial" w:cs="Arial"/>
          <w:b/>
          <w:bCs/>
        </w:rPr>
        <w:t>Digital:</w:t>
      </w:r>
      <w:r w:rsidRPr="000536C9">
        <w:rPr>
          <w:rFonts w:ascii="Arial" w:hAnsi="Arial" w:cs="Arial"/>
        </w:rPr>
        <w:t xml:space="preserve"> Digital covers a wide range of charity functions and is interpreted differently by trustees depending on their expertise and the relevance of various elements of technology to their charities. </w:t>
      </w:r>
    </w:p>
    <w:p w14:paraId="437FA449" w14:textId="2B0FBFAF" w:rsidR="00E2607C" w:rsidRPr="00F545E1" w:rsidRDefault="00BB7C43" w:rsidP="00E2607C">
      <w:pPr>
        <w:numPr>
          <w:ilvl w:val="0"/>
          <w:numId w:val="3"/>
        </w:numPr>
        <w:ind w:right="-472"/>
        <w:rPr>
          <w:rFonts w:ascii="Arial" w:hAnsi="Arial" w:cs="Arial"/>
        </w:rPr>
      </w:pPr>
      <w:r w:rsidRPr="005561B9">
        <w:rPr>
          <w:rFonts w:ascii="Arial" w:hAnsi="Arial" w:cs="Arial"/>
          <w:b/>
          <w:bCs/>
        </w:rPr>
        <w:lastRenderedPageBreak/>
        <w:t>Sustainability:</w:t>
      </w:r>
      <w:r w:rsidRPr="000536C9">
        <w:rPr>
          <w:rFonts w:ascii="Arial" w:hAnsi="Arial" w:cs="Arial"/>
        </w:rPr>
        <w:t xml:space="preserve"> While not the primary objective for most charities, climate change and sustainability considerations are increasing in relevance and importance. </w:t>
      </w:r>
    </w:p>
    <w:p w14:paraId="6E69145D" w14:textId="284A2C3E" w:rsidR="00E2607C" w:rsidRPr="00F545E1" w:rsidRDefault="00000000" w:rsidP="00E2607C">
      <w:pPr>
        <w:rPr>
          <w:rFonts w:ascii="Arial" w:eastAsia="Times New Roman" w:hAnsi="Arial" w:cs="Arial"/>
          <w:color w:val="000000"/>
          <w:lang w:eastAsia="en-GB"/>
        </w:rPr>
      </w:pPr>
      <w:hyperlink r:id="rId14" w:history="1">
        <w:r w:rsidR="00BB7C43" w:rsidRPr="000536C9">
          <w:rPr>
            <w:rStyle w:val="Hyperlink"/>
            <w:rFonts w:ascii="Arial" w:eastAsia="Times New Roman" w:hAnsi="Arial" w:cs="Arial"/>
            <w:lang w:eastAsia="en-GB"/>
          </w:rPr>
          <w:t>Full Report Here</w:t>
        </w:r>
      </w:hyperlink>
    </w:p>
    <w:p w14:paraId="287C0546" w14:textId="5166A323" w:rsidR="00FE453B" w:rsidRPr="00993B0E" w:rsidRDefault="00FE453B" w:rsidP="00F545E1">
      <w:pPr>
        <w:pStyle w:val="Heading2"/>
        <w:rPr>
          <w:rFonts w:eastAsia="Times New Roman"/>
          <w:lang w:eastAsia="en-GB"/>
        </w:rPr>
      </w:pPr>
      <w:r w:rsidRPr="00993B0E">
        <w:rPr>
          <w:rFonts w:eastAsia="Times New Roman"/>
          <w:lang w:eastAsia="en-GB"/>
        </w:rPr>
        <w:t xml:space="preserve">Charity Commission Investigations </w:t>
      </w:r>
    </w:p>
    <w:p w14:paraId="0B3651BD" w14:textId="77777777" w:rsidR="00BB0A96" w:rsidRDefault="00BB0A96" w:rsidP="00BB0A96">
      <w:pPr>
        <w:pStyle w:val="NoSpacing"/>
        <w:rPr>
          <w:rFonts w:ascii="Arial" w:hAnsi="Arial" w:cs="Arial"/>
        </w:rPr>
      </w:pPr>
      <w:r>
        <w:rPr>
          <w:rFonts w:ascii="Arial" w:hAnsi="Arial" w:cs="Arial"/>
        </w:rPr>
        <w:t xml:space="preserve">The Charity Commission </w:t>
      </w:r>
      <w:r w:rsidRPr="002F6681">
        <w:rPr>
          <w:rFonts w:ascii="Arial" w:hAnsi="Arial" w:cs="Arial"/>
        </w:rPr>
        <w:t xml:space="preserve">offers guidance to charities on both legal requirements and </w:t>
      </w:r>
      <w:r>
        <w:rPr>
          <w:rFonts w:ascii="Arial" w:hAnsi="Arial" w:cs="Arial"/>
        </w:rPr>
        <w:t>good</w:t>
      </w:r>
      <w:r w:rsidRPr="002F6681">
        <w:rPr>
          <w:rFonts w:ascii="Arial" w:hAnsi="Arial" w:cs="Arial"/>
        </w:rPr>
        <w:t xml:space="preserve"> practice to help them operate as effectively as possible and to prevent problems arising. </w:t>
      </w:r>
    </w:p>
    <w:p w14:paraId="0B13777F" w14:textId="77777777" w:rsidR="00BD01AA" w:rsidRDefault="00BD01AA" w:rsidP="00BD01AA">
      <w:pPr>
        <w:pStyle w:val="NoSpacing"/>
        <w:rPr>
          <w:rFonts w:ascii="Arial" w:hAnsi="Arial" w:cs="Arial"/>
          <w:b/>
          <w:bCs/>
        </w:rPr>
      </w:pPr>
    </w:p>
    <w:p w14:paraId="50753282" w14:textId="40923D72" w:rsidR="001D1293" w:rsidRDefault="001D1293" w:rsidP="001D1293">
      <w:pPr>
        <w:pStyle w:val="NoSpacing"/>
        <w:rPr>
          <w:rFonts w:ascii="Arial" w:hAnsi="Arial" w:cs="Arial"/>
        </w:rPr>
      </w:pPr>
      <w:r>
        <w:rPr>
          <w:rFonts w:ascii="Arial" w:hAnsi="Arial" w:cs="Arial"/>
        </w:rPr>
        <w:t>In some circumstances Trustee</w:t>
      </w:r>
      <w:r w:rsidRPr="002F6681">
        <w:rPr>
          <w:rFonts w:ascii="Arial" w:hAnsi="Arial" w:cs="Arial"/>
        </w:rPr>
        <w:t xml:space="preserve">s may also be personally liable for any debts or losses that the charity faces as a result. This will depend on the circumstances and the type of governing document for the charity. However, personal liability of this kind is </w:t>
      </w:r>
      <w:r>
        <w:rPr>
          <w:rFonts w:ascii="Arial" w:hAnsi="Arial" w:cs="Arial"/>
        </w:rPr>
        <w:t xml:space="preserve">very </w:t>
      </w:r>
      <w:r w:rsidRPr="002F6681">
        <w:rPr>
          <w:rFonts w:ascii="Arial" w:hAnsi="Arial" w:cs="Arial"/>
        </w:rPr>
        <w:t xml:space="preserve">rare, and </w:t>
      </w:r>
      <w:r>
        <w:rPr>
          <w:rFonts w:ascii="Arial" w:hAnsi="Arial" w:cs="Arial"/>
        </w:rPr>
        <w:t>usually only applies where the Trustees have acted dishonestly or recklessly. Trustee</w:t>
      </w:r>
      <w:r w:rsidRPr="002F6681">
        <w:rPr>
          <w:rFonts w:ascii="Arial" w:hAnsi="Arial" w:cs="Arial"/>
        </w:rPr>
        <w:t>s who have followed the</w:t>
      </w:r>
      <w:r>
        <w:rPr>
          <w:rFonts w:ascii="Arial" w:hAnsi="Arial" w:cs="Arial"/>
        </w:rPr>
        <w:t>ir duties</w:t>
      </w:r>
      <w:r w:rsidRPr="002F6681">
        <w:rPr>
          <w:rFonts w:ascii="Arial" w:hAnsi="Arial" w:cs="Arial"/>
        </w:rPr>
        <w:t xml:space="preserve"> </w:t>
      </w:r>
      <w:r>
        <w:rPr>
          <w:rFonts w:ascii="Arial" w:hAnsi="Arial" w:cs="Arial"/>
        </w:rPr>
        <w:t xml:space="preserve">and good practice </w:t>
      </w:r>
      <w:r w:rsidRPr="002F6681">
        <w:rPr>
          <w:rFonts w:ascii="Arial" w:hAnsi="Arial" w:cs="Arial"/>
        </w:rPr>
        <w:t>will generally be protected.</w:t>
      </w:r>
    </w:p>
    <w:p w14:paraId="128C878E" w14:textId="77777777" w:rsidR="00BB0A96" w:rsidRDefault="00BB0A96" w:rsidP="00BD01AA">
      <w:pPr>
        <w:pStyle w:val="NoSpacing"/>
        <w:rPr>
          <w:rFonts w:ascii="Arial" w:hAnsi="Arial" w:cs="Arial"/>
          <w:b/>
          <w:bCs/>
        </w:rPr>
      </w:pPr>
    </w:p>
    <w:p w14:paraId="30D6CB11" w14:textId="436985E2" w:rsidR="00BC69E1" w:rsidRDefault="00BD01AA" w:rsidP="001D1293">
      <w:pPr>
        <w:pStyle w:val="NoSpacing"/>
        <w:rPr>
          <w:rFonts w:ascii="Arial" w:hAnsi="Arial" w:cs="Arial"/>
        </w:rPr>
      </w:pPr>
      <w:r w:rsidRPr="001D1293">
        <w:rPr>
          <w:rFonts w:ascii="Arial" w:hAnsi="Arial" w:cs="Arial"/>
        </w:rPr>
        <w:t>In 2022-23, the charity commission received 2,969 new serious incident reports</w:t>
      </w:r>
      <w:r w:rsidR="001D1293" w:rsidRPr="001D1293">
        <w:rPr>
          <w:rFonts w:ascii="Arial" w:hAnsi="Arial" w:cs="Arial"/>
        </w:rPr>
        <w:t>, and in the same year</w:t>
      </w:r>
      <w:r w:rsidR="001D1293">
        <w:rPr>
          <w:rFonts w:ascii="Arial" w:hAnsi="Arial" w:cs="Arial"/>
          <w:b/>
          <w:bCs/>
        </w:rPr>
        <w:t xml:space="preserve"> </w:t>
      </w:r>
      <w:r w:rsidRPr="00EF3A9B">
        <w:rPr>
          <w:rFonts w:ascii="Arial" w:hAnsi="Arial" w:cs="Arial"/>
        </w:rPr>
        <w:t>the Charity Commission removed 4,146 charities from the register</w:t>
      </w:r>
      <w:r w:rsidR="001D1293">
        <w:rPr>
          <w:rFonts w:ascii="Arial" w:hAnsi="Arial" w:cs="Arial"/>
        </w:rPr>
        <w:t xml:space="preserve">. </w:t>
      </w:r>
    </w:p>
    <w:p w14:paraId="6C0BE57F" w14:textId="77777777" w:rsidR="00AA4208" w:rsidRDefault="00AA4208" w:rsidP="001D1293">
      <w:pPr>
        <w:pStyle w:val="NoSpacing"/>
        <w:rPr>
          <w:rFonts w:ascii="Arial" w:hAnsi="Arial" w:cs="Arial"/>
        </w:rPr>
      </w:pPr>
    </w:p>
    <w:p w14:paraId="1D294063" w14:textId="77777777" w:rsidR="00AA4208" w:rsidRDefault="00AA4208" w:rsidP="00AA4208">
      <w:pPr>
        <w:pStyle w:val="NoSpacing"/>
        <w:rPr>
          <w:rFonts w:ascii="Arial" w:hAnsi="Arial" w:cs="Arial"/>
        </w:rPr>
      </w:pPr>
      <w:r w:rsidRPr="00EF3A9B">
        <w:rPr>
          <w:rFonts w:ascii="Arial" w:hAnsi="Arial" w:cs="Arial"/>
        </w:rPr>
        <w:t>The Charity Commission describes a serious incident as being an adverse event - either actual or alleged - which either results in or risks significant harm to anyone who comes into contact with the charity through its work (for example, the charity’s beneficiaries or staff), loss of the charity’s money/assets, damage to its property or harm to the charity’s work or reputation.</w:t>
      </w:r>
    </w:p>
    <w:p w14:paraId="33F2791D" w14:textId="77777777" w:rsidR="00AA4208" w:rsidRDefault="00AA4208" w:rsidP="00AA4208">
      <w:pPr>
        <w:pStyle w:val="NoSpacing"/>
        <w:rPr>
          <w:rFonts w:ascii="Arial" w:hAnsi="Arial" w:cs="Arial"/>
        </w:rPr>
      </w:pPr>
    </w:p>
    <w:p w14:paraId="10208F33" w14:textId="6312B752" w:rsidR="00AA4208" w:rsidRDefault="00000000" w:rsidP="00AA4208">
      <w:pPr>
        <w:pStyle w:val="NoSpacing"/>
        <w:rPr>
          <w:rFonts w:ascii="Arial" w:hAnsi="Arial" w:cs="Arial"/>
        </w:rPr>
      </w:pPr>
      <w:hyperlink r:id="rId15" w:history="1">
        <w:r w:rsidR="009D39A8" w:rsidRPr="009D39A8">
          <w:rPr>
            <w:rStyle w:val="Hyperlink"/>
            <w:rFonts w:ascii="Arial" w:hAnsi="Arial" w:cs="Arial"/>
          </w:rPr>
          <w:t>Further Information Here</w:t>
        </w:r>
      </w:hyperlink>
    </w:p>
    <w:p w14:paraId="1420FAB8" w14:textId="01657258" w:rsidR="009D39A8" w:rsidRDefault="005E7DA8" w:rsidP="00F545E1">
      <w:pPr>
        <w:pStyle w:val="Heading2"/>
      </w:pPr>
      <w:r w:rsidRPr="005E7DA8">
        <w:t>Guidance on Conflicts of Interest</w:t>
      </w:r>
    </w:p>
    <w:p w14:paraId="1FAE5022" w14:textId="77777777" w:rsidR="004F789E" w:rsidRPr="004F789E" w:rsidRDefault="004F789E" w:rsidP="004F789E">
      <w:pPr>
        <w:pStyle w:val="NoSpacing"/>
        <w:rPr>
          <w:rFonts w:ascii="Arial" w:hAnsi="Arial" w:cs="Arial"/>
          <w:iCs/>
        </w:rPr>
      </w:pPr>
      <w:r w:rsidRPr="004F789E">
        <w:rPr>
          <w:rFonts w:ascii="Arial" w:hAnsi="Arial" w:cs="Arial"/>
          <w:i/>
          <w:lang w:val="en-US"/>
        </w:rPr>
        <w:t>A conflict of interest is any situation in which a Trustee’s personal interests or loyalties could, or could be seen to, prevent them from deciding only in the best interests of the charity</w:t>
      </w:r>
      <w:r w:rsidRPr="004F789E">
        <w:rPr>
          <w:rFonts w:ascii="Arial" w:hAnsi="Arial" w:cs="Arial"/>
          <w:iCs/>
          <w:lang w:val="en-US"/>
        </w:rPr>
        <w:t>.</w:t>
      </w:r>
      <w:r w:rsidRPr="004F789E">
        <w:rPr>
          <w:rFonts w:ascii="Arial" w:hAnsi="Arial" w:cs="Arial"/>
          <w:iCs/>
        </w:rPr>
        <w:t xml:space="preserve"> (Charity Commission definition)</w:t>
      </w:r>
    </w:p>
    <w:p w14:paraId="7D44DED2" w14:textId="77777777" w:rsidR="004F789E" w:rsidRDefault="004F789E" w:rsidP="004F789E">
      <w:pPr>
        <w:pStyle w:val="NoSpacing"/>
        <w:rPr>
          <w:rFonts w:ascii="Arial" w:hAnsi="Arial" w:cs="Arial"/>
        </w:rPr>
      </w:pPr>
    </w:p>
    <w:p w14:paraId="56252083" w14:textId="77777777" w:rsidR="004F789E" w:rsidRPr="00E32BA5" w:rsidRDefault="004F789E" w:rsidP="004F789E">
      <w:pPr>
        <w:pStyle w:val="NoSpacing"/>
        <w:rPr>
          <w:rFonts w:ascii="Arial" w:hAnsi="Arial" w:cs="Arial"/>
        </w:rPr>
      </w:pPr>
      <w:r w:rsidRPr="00E32BA5">
        <w:rPr>
          <w:rFonts w:ascii="Arial" w:hAnsi="Arial" w:cs="Arial"/>
        </w:rPr>
        <w:t>Conflicts of interest may come in a number of different forms:</w:t>
      </w:r>
    </w:p>
    <w:p w14:paraId="695D35F4" w14:textId="77777777" w:rsidR="004F789E" w:rsidRPr="00E32BA5" w:rsidRDefault="004F789E" w:rsidP="004F789E">
      <w:pPr>
        <w:pStyle w:val="NoSpacing"/>
        <w:numPr>
          <w:ilvl w:val="0"/>
          <w:numId w:val="13"/>
        </w:numPr>
        <w:rPr>
          <w:rFonts w:ascii="Arial" w:hAnsi="Arial" w:cs="Arial"/>
        </w:rPr>
      </w:pPr>
      <w:r>
        <w:rPr>
          <w:rFonts w:ascii="Arial" w:hAnsi="Arial" w:cs="Arial"/>
        </w:rPr>
        <w:t>D</w:t>
      </w:r>
      <w:r w:rsidRPr="00E32BA5">
        <w:rPr>
          <w:rFonts w:ascii="Arial" w:hAnsi="Arial" w:cs="Arial"/>
        </w:rPr>
        <w:t xml:space="preserve">irect financial gain or benefit to the </w:t>
      </w:r>
      <w:r>
        <w:rPr>
          <w:rFonts w:ascii="Arial" w:hAnsi="Arial" w:cs="Arial"/>
        </w:rPr>
        <w:t>Trustee</w:t>
      </w:r>
      <w:r w:rsidRPr="00E32BA5">
        <w:rPr>
          <w:rFonts w:ascii="Arial" w:hAnsi="Arial" w:cs="Arial"/>
        </w:rPr>
        <w:t>, such as:</w:t>
      </w:r>
    </w:p>
    <w:p w14:paraId="37EBAEDA" w14:textId="77777777" w:rsidR="004F789E" w:rsidRPr="00E32BA5" w:rsidRDefault="004F789E" w:rsidP="004F789E">
      <w:pPr>
        <w:pStyle w:val="NoSpacing"/>
        <w:numPr>
          <w:ilvl w:val="1"/>
          <w:numId w:val="13"/>
        </w:numPr>
        <w:rPr>
          <w:rFonts w:ascii="Arial" w:hAnsi="Arial" w:cs="Arial"/>
        </w:rPr>
      </w:pPr>
      <w:r>
        <w:rPr>
          <w:rFonts w:ascii="Arial" w:hAnsi="Arial" w:cs="Arial"/>
        </w:rPr>
        <w:t>P</w:t>
      </w:r>
      <w:r w:rsidRPr="00E32BA5">
        <w:rPr>
          <w:rFonts w:ascii="Arial" w:hAnsi="Arial" w:cs="Arial"/>
        </w:rPr>
        <w:t xml:space="preserve">ayment to a </w:t>
      </w:r>
      <w:r>
        <w:rPr>
          <w:rFonts w:ascii="Arial" w:hAnsi="Arial" w:cs="Arial"/>
        </w:rPr>
        <w:t>Trustee</w:t>
      </w:r>
      <w:r w:rsidRPr="00E32BA5">
        <w:rPr>
          <w:rFonts w:ascii="Arial" w:hAnsi="Arial" w:cs="Arial"/>
        </w:rPr>
        <w:t xml:space="preserve"> for services provided to the charity</w:t>
      </w:r>
      <w:r>
        <w:rPr>
          <w:rFonts w:ascii="Arial" w:hAnsi="Arial" w:cs="Arial"/>
        </w:rPr>
        <w:t>.</w:t>
      </w:r>
    </w:p>
    <w:p w14:paraId="679FB989" w14:textId="77777777" w:rsidR="004F789E" w:rsidRPr="00E32BA5" w:rsidRDefault="004F789E" w:rsidP="004F789E">
      <w:pPr>
        <w:pStyle w:val="NoSpacing"/>
        <w:numPr>
          <w:ilvl w:val="1"/>
          <w:numId w:val="13"/>
        </w:numPr>
        <w:rPr>
          <w:rFonts w:ascii="Arial" w:hAnsi="Arial" w:cs="Arial"/>
        </w:rPr>
      </w:pPr>
      <w:r>
        <w:rPr>
          <w:rFonts w:ascii="Arial" w:hAnsi="Arial" w:cs="Arial"/>
        </w:rPr>
        <w:t>T</w:t>
      </w:r>
      <w:r w:rsidRPr="00E32BA5">
        <w:rPr>
          <w:rFonts w:ascii="Arial" w:hAnsi="Arial" w:cs="Arial"/>
        </w:rPr>
        <w:t xml:space="preserve">he award of a contract to another organisation in which a </w:t>
      </w:r>
      <w:r>
        <w:rPr>
          <w:rFonts w:ascii="Arial" w:hAnsi="Arial" w:cs="Arial"/>
        </w:rPr>
        <w:t>Trustee</w:t>
      </w:r>
      <w:r w:rsidRPr="00E32BA5">
        <w:rPr>
          <w:rFonts w:ascii="Arial" w:hAnsi="Arial" w:cs="Arial"/>
        </w:rPr>
        <w:t xml:space="preserve"> has an interest and from which a </w:t>
      </w:r>
      <w:r>
        <w:rPr>
          <w:rFonts w:ascii="Arial" w:hAnsi="Arial" w:cs="Arial"/>
        </w:rPr>
        <w:t>Trustee</w:t>
      </w:r>
      <w:r w:rsidRPr="00E32BA5">
        <w:rPr>
          <w:rFonts w:ascii="Arial" w:hAnsi="Arial" w:cs="Arial"/>
        </w:rPr>
        <w:t xml:space="preserve"> will receive a financial benefit</w:t>
      </w:r>
      <w:r>
        <w:rPr>
          <w:rFonts w:ascii="Arial" w:hAnsi="Arial" w:cs="Arial"/>
        </w:rPr>
        <w:t>.</w:t>
      </w:r>
    </w:p>
    <w:p w14:paraId="759D9C86" w14:textId="77777777" w:rsidR="004F789E" w:rsidRPr="00E32BA5" w:rsidRDefault="004F789E" w:rsidP="004F789E">
      <w:pPr>
        <w:pStyle w:val="NoSpacing"/>
        <w:numPr>
          <w:ilvl w:val="1"/>
          <w:numId w:val="13"/>
        </w:numPr>
        <w:rPr>
          <w:rFonts w:ascii="Arial" w:hAnsi="Arial" w:cs="Arial"/>
        </w:rPr>
      </w:pPr>
      <w:r>
        <w:rPr>
          <w:rFonts w:ascii="Arial" w:hAnsi="Arial" w:cs="Arial"/>
        </w:rPr>
        <w:t>T</w:t>
      </w:r>
      <w:r w:rsidRPr="00E32BA5">
        <w:rPr>
          <w:rFonts w:ascii="Arial" w:hAnsi="Arial" w:cs="Arial"/>
        </w:rPr>
        <w:t xml:space="preserve">he employment of a </w:t>
      </w:r>
      <w:r>
        <w:rPr>
          <w:rFonts w:ascii="Arial" w:hAnsi="Arial" w:cs="Arial"/>
        </w:rPr>
        <w:t>Trustee</w:t>
      </w:r>
      <w:r w:rsidRPr="00E32BA5">
        <w:rPr>
          <w:rFonts w:ascii="Arial" w:hAnsi="Arial" w:cs="Arial"/>
        </w:rPr>
        <w:t xml:space="preserve"> in a separate post within the charity, even when the </w:t>
      </w:r>
      <w:r>
        <w:rPr>
          <w:rFonts w:ascii="Arial" w:hAnsi="Arial" w:cs="Arial"/>
        </w:rPr>
        <w:t>Trustee</w:t>
      </w:r>
      <w:r w:rsidRPr="00E32BA5">
        <w:rPr>
          <w:rFonts w:ascii="Arial" w:hAnsi="Arial" w:cs="Arial"/>
        </w:rPr>
        <w:t xml:space="preserve"> has resigned in order to take up the employment</w:t>
      </w:r>
      <w:r>
        <w:rPr>
          <w:rFonts w:ascii="Arial" w:hAnsi="Arial" w:cs="Arial"/>
        </w:rPr>
        <w:t>.</w:t>
      </w:r>
    </w:p>
    <w:p w14:paraId="3A8AC621" w14:textId="77777777" w:rsidR="004F789E" w:rsidRPr="00E32BA5" w:rsidRDefault="004F789E" w:rsidP="004F789E">
      <w:pPr>
        <w:pStyle w:val="NoSpacing"/>
        <w:numPr>
          <w:ilvl w:val="0"/>
          <w:numId w:val="13"/>
        </w:numPr>
        <w:rPr>
          <w:rFonts w:ascii="Arial" w:hAnsi="Arial" w:cs="Arial"/>
        </w:rPr>
      </w:pPr>
      <w:r>
        <w:rPr>
          <w:rFonts w:ascii="Arial" w:hAnsi="Arial" w:cs="Arial"/>
        </w:rPr>
        <w:t>I</w:t>
      </w:r>
      <w:r w:rsidRPr="00E32BA5">
        <w:rPr>
          <w:rFonts w:ascii="Arial" w:hAnsi="Arial" w:cs="Arial"/>
        </w:rPr>
        <w:t xml:space="preserve">ndirect financial gain, such as employment by the charity of a spouse or partner of a </w:t>
      </w:r>
      <w:r>
        <w:rPr>
          <w:rFonts w:ascii="Arial" w:hAnsi="Arial" w:cs="Arial"/>
        </w:rPr>
        <w:t>Trustee</w:t>
      </w:r>
      <w:r w:rsidRPr="00E32BA5">
        <w:rPr>
          <w:rFonts w:ascii="Arial" w:hAnsi="Arial" w:cs="Arial"/>
        </w:rPr>
        <w:t>, where their finances are interdependent</w:t>
      </w:r>
      <w:r>
        <w:rPr>
          <w:rFonts w:ascii="Arial" w:hAnsi="Arial" w:cs="Arial"/>
        </w:rPr>
        <w:t>.</w:t>
      </w:r>
    </w:p>
    <w:p w14:paraId="78DFA6CB" w14:textId="77777777" w:rsidR="004F789E" w:rsidRPr="00E32BA5" w:rsidRDefault="004F789E" w:rsidP="004F789E">
      <w:pPr>
        <w:pStyle w:val="NoSpacing"/>
        <w:numPr>
          <w:ilvl w:val="0"/>
          <w:numId w:val="13"/>
        </w:numPr>
        <w:rPr>
          <w:rFonts w:ascii="Arial" w:hAnsi="Arial" w:cs="Arial"/>
        </w:rPr>
      </w:pPr>
      <w:r>
        <w:rPr>
          <w:rFonts w:ascii="Arial" w:hAnsi="Arial" w:cs="Arial"/>
        </w:rPr>
        <w:t>N</w:t>
      </w:r>
      <w:r w:rsidRPr="00E32BA5">
        <w:rPr>
          <w:rFonts w:ascii="Arial" w:hAnsi="Arial" w:cs="Arial"/>
        </w:rPr>
        <w:t xml:space="preserve">on-financial gain, such as when a user of the charity’s services is also a </w:t>
      </w:r>
      <w:r>
        <w:rPr>
          <w:rFonts w:ascii="Arial" w:hAnsi="Arial" w:cs="Arial"/>
        </w:rPr>
        <w:t>Trustee.</w:t>
      </w:r>
    </w:p>
    <w:p w14:paraId="370EAC89" w14:textId="77777777" w:rsidR="004F789E" w:rsidRDefault="004F789E" w:rsidP="004F789E">
      <w:pPr>
        <w:pStyle w:val="NoSpacing"/>
        <w:numPr>
          <w:ilvl w:val="0"/>
          <w:numId w:val="13"/>
        </w:numPr>
        <w:rPr>
          <w:rFonts w:ascii="Arial" w:hAnsi="Arial" w:cs="Arial"/>
        </w:rPr>
      </w:pPr>
      <w:r>
        <w:rPr>
          <w:rFonts w:ascii="Arial" w:hAnsi="Arial" w:cs="Arial"/>
        </w:rPr>
        <w:t>C</w:t>
      </w:r>
      <w:r w:rsidRPr="00E32BA5">
        <w:rPr>
          <w:rFonts w:ascii="Arial" w:hAnsi="Arial" w:cs="Arial"/>
        </w:rPr>
        <w:t xml:space="preserve">onflict of loyalties, such as where a </w:t>
      </w:r>
      <w:r>
        <w:rPr>
          <w:rFonts w:ascii="Arial" w:hAnsi="Arial" w:cs="Arial"/>
        </w:rPr>
        <w:t>Trustee</w:t>
      </w:r>
      <w:r w:rsidRPr="00E32BA5">
        <w:rPr>
          <w:rFonts w:ascii="Arial" w:hAnsi="Arial" w:cs="Arial"/>
        </w:rPr>
        <w:t xml:space="preserve"> is appointed by the local authority or by one of the charity’s funders, or where a friend of a </w:t>
      </w:r>
      <w:r>
        <w:rPr>
          <w:rFonts w:ascii="Arial" w:hAnsi="Arial" w:cs="Arial"/>
        </w:rPr>
        <w:t>Trustee</w:t>
      </w:r>
      <w:r w:rsidRPr="00E32BA5">
        <w:rPr>
          <w:rFonts w:ascii="Arial" w:hAnsi="Arial" w:cs="Arial"/>
        </w:rPr>
        <w:t xml:space="preserve"> is employed by the charity</w:t>
      </w:r>
      <w:r>
        <w:rPr>
          <w:rFonts w:ascii="Arial" w:hAnsi="Arial" w:cs="Arial"/>
        </w:rPr>
        <w:t>.</w:t>
      </w:r>
    </w:p>
    <w:p w14:paraId="1A80B08A" w14:textId="77777777" w:rsidR="005E7DA8" w:rsidRPr="005E7DA8" w:rsidRDefault="005E7DA8" w:rsidP="00AA4208">
      <w:pPr>
        <w:pStyle w:val="NoSpacing"/>
        <w:rPr>
          <w:rFonts w:ascii="Arial" w:hAnsi="Arial" w:cs="Arial"/>
          <w:b/>
          <w:bCs/>
          <w:sz w:val="28"/>
          <w:szCs w:val="28"/>
          <w:u w:val="single"/>
        </w:rPr>
      </w:pPr>
    </w:p>
    <w:p w14:paraId="2F34F1B4" w14:textId="6B1EFBC8" w:rsidR="00AA4208" w:rsidRDefault="00000000" w:rsidP="001D1293">
      <w:pPr>
        <w:pStyle w:val="NoSpacing"/>
        <w:rPr>
          <w:rFonts w:ascii="Arial" w:hAnsi="Arial" w:cs="Arial"/>
        </w:rPr>
      </w:pPr>
      <w:hyperlink r:id="rId16" w:history="1">
        <w:r w:rsidR="00D24FB1" w:rsidRPr="00D24FB1">
          <w:rPr>
            <w:rStyle w:val="Hyperlink"/>
            <w:rFonts w:ascii="Arial" w:hAnsi="Arial" w:cs="Arial"/>
          </w:rPr>
          <w:t>Further Guidance Here</w:t>
        </w:r>
      </w:hyperlink>
    </w:p>
    <w:p w14:paraId="16EBFABF" w14:textId="77777777" w:rsidR="00D24FB1" w:rsidRDefault="00D24FB1" w:rsidP="001D1293">
      <w:pPr>
        <w:pStyle w:val="NoSpacing"/>
        <w:rPr>
          <w:rFonts w:ascii="Arial" w:hAnsi="Arial" w:cs="Arial"/>
        </w:rPr>
      </w:pPr>
    </w:p>
    <w:p w14:paraId="5C1B7714" w14:textId="17C8C1DB" w:rsidR="00D24FB1" w:rsidRDefault="00517F13" w:rsidP="00F545E1">
      <w:pPr>
        <w:pStyle w:val="Heading2"/>
      </w:pPr>
      <w:r w:rsidRPr="00517F13">
        <w:t>Accounting Essentials</w:t>
      </w:r>
    </w:p>
    <w:p w14:paraId="509E6B33" w14:textId="77777777" w:rsidR="00B934CF" w:rsidRDefault="00B934CF" w:rsidP="00B934CF">
      <w:pPr>
        <w:pStyle w:val="NoSpacing"/>
        <w:rPr>
          <w:rFonts w:ascii="Arial" w:hAnsi="Arial" w:cs="Arial"/>
        </w:rPr>
      </w:pPr>
      <w:r>
        <w:rPr>
          <w:rFonts w:ascii="Arial" w:hAnsi="Arial" w:cs="Arial"/>
        </w:rPr>
        <w:t>Depending on the size of the charity, the day-to-day responsibility for financial matters will usually sit with a Finance Director or the CEO on a charity’s management team, who will report to the Board of Trustees.</w:t>
      </w:r>
    </w:p>
    <w:p w14:paraId="68835546" w14:textId="77777777" w:rsidR="00B934CF" w:rsidRDefault="00B934CF" w:rsidP="00B934CF">
      <w:pPr>
        <w:pStyle w:val="NoSpacing"/>
        <w:rPr>
          <w:rFonts w:ascii="Arial" w:hAnsi="Arial" w:cs="Arial"/>
        </w:rPr>
      </w:pPr>
    </w:p>
    <w:p w14:paraId="116B3ECA" w14:textId="77777777" w:rsidR="00B934CF" w:rsidRDefault="00B934CF" w:rsidP="00B934CF">
      <w:pPr>
        <w:pStyle w:val="NoSpacing"/>
        <w:rPr>
          <w:rFonts w:ascii="Arial" w:hAnsi="Arial" w:cs="Arial"/>
        </w:rPr>
      </w:pPr>
      <w:r w:rsidRPr="00B934CF">
        <w:rPr>
          <w:rFonts w:ascii="Arial" w:hAnsi="Arial" w:cs="Arial"/>
          <w:bCs/>
        </w:rPr>
        <w:t>Trustees</w:t>
      </w:r>
      <w:r>
        <w:rPr>
          <w:rFonts w:ascii="Arial" w:hAnsi="Arial" w:cs="Arial"/>
        </w:rPr>
        <w:t xml:space="preserve"> have a number of legal responsibilities in relation to accounting and financial reporting. These include:</w:t>
      </w:r>
    </w:p>
    <w:p w14:paraId="5A54957C" w14:textId="77777777" w:rsidR="00B934CF" w:rsidRPr="00DA1DCA" w:rsidRDefault="00B934CF" w:rsidP="00B934CF">
      <w:pPr>
        <w:pStyle w:val="NoSpacing"/>
        <w:numPr>
          <w:ilvl w:val="0"/>
          <w:numId w:val="14"/>
        </w:numPr>
        <w:rPr>
          <w:rFonts w:ascii="Arial" w:hAnsi="Arial" w:cs="Arial"/>
        </w:rPr>
      </w:pPr>
      <w:r>
        <w:rPr>
          <w:rFonts w:ascii="Arial" w:hAnsi="Arial" w:cs="Arial"/>
        </w:rPr>
        <w:t>K</w:t>
      </w:r>
      <w:r w:rsidRPr="00DA1DCA">
        <w:rPr>
          <w:rFonts w:ascii="Arial" w:hAnsi="Arial" w:cs="Arial"/>
        </w:rPr>
        <w:t>eeping 'sufficient' accounting records to explain all transactions and show the charity's financial position.</w:t>
      </w:r>
    </w:p>
    <w:p w14:paraId="79F7A889" w14:textId="77777777" w:rsidR="00B934CF" w:rsidRPr="00DA1DCA" w:rsidRDefault="00B934CF" w:rsidP="00B934CF">
      <w:pPr>
        <w:pStyle w:val="NoSpacing"/>
        <w:numPr>
          <w:ilvl w:val="0"/>
          <w:numId w:val="14"/>
        </w:numPr>
        <w:rPr>
          <w:rFonts w:ascii="Arial" w:hAnsi="Arial" w:cs="Arial"/>
        </w:rPr>
      </w:pPr>
      <w:r>
        <w:rPr>
          <w:rFonts w:ascii="Arial" w:hAnsi="Arial" w:cs="Arial"/>
        </w:rPr>
        <w:t>P</w:t>
      </w:r>
      <w:r w:rsidRPr="00DA1DCA">
        <w:rPr>
          <w:rFonts w:ascii="Arial" w:hAnsi="Arial" w:cs="Arial"/>
        </w:rPr>
        <w:t xml:space="preserve">reparing an annual report and statutory accounts </w:t>
      </w:r>
      <w:r>
        <w:rPr>
          <w:rFonts w:ascii="Arial" w:hAnsi="Arial" w:cs="Arial"/>
        </w:rPr>
        <w:t xml:space="preserve">to meet </w:t>
      </w:r>
      <w:r w:rsidRPr="00DA1DCA">
        <w:rPr>
          <w:rFonts w:ascii="Arial" w:hAnsi="Arial" w:cs="Arial"/>
        </w:rPr>
        <w:t>legal requirements.</w:t>
      </w:r>
    </w:p>
    <w:p w14:paraId="2D097E97" w14:textId="77777777" w:rsidR="00B934CF" w:rsidRPr="00DA1DCA" w:rsidRDefault="00B934CF" w:rsidP="00B934CF">
      <w:pPr>
        <w:pStyle w:val="NoSpacing"/>
        <w:numPr>
          <w:ilvl w:val="0"/>
          <w:numId w:val="14"/>
        </w:numPr>
        <w:rPr>
          <w:rFonts w:ascii="Arial" w:hAnsi="Arial" w:cs="Arial"/>
        </w:rPr>
      </w:pPr>
      <w:r>
        <w:rPr>
          <w:rFonts w:ascii="Arial" w:hAnsi="Arial" w:cs="Arial"/>
        </w:rPr>
        <w:t>C</w:t>
      </w:r>
      <w:r w:rsidRPr="00DA1DCA">
        <w:rPr>
          <w:rFonts w:ascii="Arial" w:hAnsi="Arial" w:cs="Arial"/>
        </w:rPr>
        <w:t>onsidering the need for a reserves policy, managing the level of reserves held and the disclosure of any reserves policy in the Trustees' Annual Report.</w:t>
      </w:r>
    </w:p>
    <w:p w14:paraId="604A3335" w14:textId="77777777" w:rsidR="00B934CF" w:rsidRPr="00DA1DCA" w:rsidRDefault="00B934CF" w:rsidP="00B934CF">
      <w:pPr>
        <w:pStyle w:val="NoSpacing"/>
        <w:numPr>
          <w:ilvl w:val="0"/>
          <w:numId w:val="14"/>
        </w:numPr>
        <w:rPr>
          <w:rFonts w:ascii="Arial" w:hAnsi="Arial" w:cs="Arial"/>
        </w:rPr>
      </w:pPr>
      <w:r>
        <w:rPr>
          <w:rFonts w:ascii="Arial" w:hAnsi="Arial" w:cs="Arial"/>
        </w:rPr>
        <w:t>F</w:t>
      </w:r>
      <w:r w:rsidRPr="00DA1DCA">
        <w:rPr>
          <w:rFonts w:ascii="Arial" w:hAnsi="Arial" w:cs="Arial"/>
        </w:rPr>
        <w:t>ormally approving the Trustees' Annual Report and accounts.</w:t>
      </w:r>
    </w:p>
    <w:p w14:paraId="199B559E" w14:textId="77777777" w:rsidR="00B934CF" w:rsidRPr="00DA1DCA" w:rsidRDefault="00B934CF" w:rsidP="00B934CF">
      <w:pPr>
        <w:pStyle w:val="NoSpacing"/>
        <w:numPr>
          <w:ilvl w:val="0"/>
          <w:numId w:val="14"/>
        </w:numPr>
        <w:rPr>
          <w:rFonts w:ascii="Arial" w:hAnsi="Arial" w:cs="Arial"/>
        </w:rPr>
      </w:pPr>
      <w:r>
        <w:rPr>
          <w:rFonts w:ascii="Arial" w:hAnsi="Arial" w:cs="Arial"/>
        </w:rPr>
        <w:t>E</w:t>
      </w:r>
      <w:r w:rsidRPr="00DA1DCA">
        <w:rPr>
          <w:rFonts w:ascii="Arial" w:hAnsi="Arial" w:cs="Arial"/>
        </w:rPr>
        <w:t>nsuring that accounts are subjected to any external scrutiny required by law or by the charity's governing document.</w:t>
      </w:r>
    </w:p>
    <w:p w14:paraId="77304E4F" w14:textId="77777777" w:rsidR="00B934CF" w:rsidRPr="00DA1DCA" w:rsidRDefault="00B934CF" w:rsidP="00B934CF">
      <w:pPr>
        <w:pStyle w:val="NoSpacing"/>
        <w:numPr>
          <w:ilvl w:val="0"/>
          <w:numId w:val="14"/>
        </w:numPr>
        <w:rPr>
          <w:rFonts w:ascii="Arial" w:hAnsi="Arial" w:cs="Arial"/>
        </w:rPr>
      </w:pPr>
      <w:r>
        <w:rPr>
          <w:rFonts w:ascii="Arial" w:hAnsi="Arial" w:cs="Arial"/>
        </w:rPr>
        <w:lastRenderedPageBreak/>
        <w:t>E</w:t>
      </w:r>
      <w:r w:rsidRPr="00DA1DCA">
        <w:rPr>
          <w:rFonts w:ascii="Arial" w:hAnsi="Arial" w:cs="Arial"/>
        </w:rPr>
        <w:t>nsuring that the Trustees' Annual Report, accounts, and annual return are filed on time with the Charity Commission where filing is required by law and, if the charity is a company, also filed with Companies House.</w:t>
      </w:r>
    </w:p>
    <w:p w14:paraId="13392A95" w14:textId="77777777" w:rsidR="00B934CF" w:rsidRPr="00DA1DCA" w:rsidRDefault="00B934CF" w:rsidP="00B934CF">
      <w:pPr>
        <w:pStyle w:val="NoSpacing"/>
        <w:numPr>
          <w:ilvl w:val="0"/>
          <w:numId w:val="14"/>
        </w:numPr>
        <w:rPr>
          <w:rFonts w:ascii="Arial" w:hAnsi="Arial" w:cs="Arial"/>
        </w:rPr>
      </w:pPr>
      <w:r>
        <w:rPr>
          <w:rFonts w:ascii="Arial" w:hAnsi="Arial" w:cs="Arial"/>
        </w:rPr>
        <w:t>Fulfilling</w:t>
      </w:r>
      <w:r w:rsidRPr="00DA1DCA">
        <w:rPr>
          <w:rFonts w:ascii="Arial" w:hAnsi="Arial" w:cs="Arial"/>
        </w:rPr>
        <w:t xml:space="preserve"> requests from the public for copies of the charity's most recent </w:t>
      </w:r>
      <w:r>
        <w:rPr>
          <w:rFonts w:ascii="Arial" w:hAnsi="Arial" w:cs="Arial"/>
        </w:rPr>
        <w:t>T</w:t>
      </w:r>
      <w:r w:rsidRPr="00DA1DCA">
        <w:rPr>
          <w:rFonts w:ascii="Arial" w:hAnsi="Arial" w:cs="Arial"/>
        </w:rPr>
        <w:t>rustees' annual report and accounts.</w:t>
      </w:r>
    </w:p>
    <w:p w14:paraId="13234F9A" w14:textId="77777777" w:rsidR="00B934CF" w:rsidRPr="00DA1DCA" w:rsidRDefault="00B934CF" w:rsidP="00B934CF">
      <w:pPr>
        <w:pStyle w:val="NoSpacing"/>
        <w:numPr>
          <w:ilvl w:val="0"/>
          <w:numId w:val="14"/>
        </w:numPr>
        <w:rPr>
          <w:rFonts w:ascii="Arial" w:hAnsi="Arial" w:cs="Arial"/>
        </w:rPr>
      </w:pPr>
      <w:r>
        <w:rPr>
          <w:rFonts w:ascii="Arial" w:hAnsi="Arial" w:cs="Arial"/>
        </w:rPr>
        <w:t>S</w:t>
      </w:r>
      <w:r w:rsidRPr="00DA1DCA">
        <w:rPr>
          <w:rFonts w:ascii="Arial" w:hAnsi="Arial" w:cs="Arial"/>
        </w:rPr>
        <w:t>afeguarding the assets of the charity and ensuring prop</w:t>
      </w:r>
      <w:r>
        <w:rPr>
          <w:rFonts w:ascii="Arial" w:hAnsi="Arial" w:cs="Arial"/>
        </w:rPr>
        <w:t xml:space="preserve">er application of resources. </w:t>
      </w:r>
    </w:p>
    <w:p w14:paraId="4CB186A2" w14:textId="77777777" w:rsidR="00B934CF" w:rsidRDefault="00B934CF" w:rsidP="00B934CF">
      <w:pPr>
        <w:pStyle w:val="NoSpacing"/>
        <w:numPr>
          <w:ilvl w:val="0"/>
          <w:numId w:val="14"/>
        </w:numPr>
        <w:rPr>
          <w:rFonts w:ascii="Arial" w:hAnsi="Arial" w:cs="Arial"/>
        </w:rPr>
      </w:pPr>
      <w:r>
        <w:rPr>
          <w:rFonts w:ascii="Arial" w:hAnsi="Arial" w:cs="Arial"/>
        </w:rPr>
        <w:t>T</w:t>
      </w:r>
      <w:r w:rsidRPr="00DA1DCA">
        <w:rPr>
          <w:rFonts w:ascii="Arial" w:hAnsi="Arial" w:cs="Arial"/>
        </w:rPr>
        <w:t xml:space="preserve">aking steps </w:t>
      </w:r>
      <w:r>
        <w:rPr>
          <w:rFonts w:ascii="Arial" w:hAnsi="Arial" w:cs="Arial"/>
        </w:rPr>
        <w:t>to prevent and detect</w:t>
      </w:r>
      <w:r w:rsidRPr="00DA1DCA">
        <w:rPr>
          <w:rFonts w:ascii="Arial" w:hAnsi="Arial" w:cs="Arial"/>
        </w:rPr>
        <w:t xml:space="preserve"> bribery, fraud, financial abuse, and other irregularities.</w:t>
      </w:r>
    </w:p>
    <w:p w14:paraId="5186DDD3" w14:textId="77777777" w:rsidR="00B934CF" w:rsidRDefault="00B934CF" w:rsidP="00B934CF">
      <w:pPr>
        <w:pStyle w:val="NoSpacing"/>
        <w:rPr>
          <w:rFonts w:ascii="Arial" w:hAnsi="Arial" w:cs="Arial"/>
        </w:rPr>
      </w:pPr>
    </w:p>
    <w:p w14:paraId="43E99CF8" w14:textId="24480CE9" w:rsidR="00517F13" w:rsidRDefault="00000000" w:rsidP="001D1293">
      <w:pPr>
        <w:pStyle w:val="NoSpacing"/>
        <w:rPr>
          <w:rFonts w:ascii="Arial" w:hAnsi="Arial" w:cs="Arial"/>
        </w:rPr>
      </w:pPr>
      <w:hyperlink r:id="rId17" w:history="1">
        <w:r w:rsidR="00AE5284" w:rsidRPr="00AE5284">
          <w:rPr>
            <w:rStyle w:val="Hyperlink"/>
            <w:rFonts w:ascii="Arial" w:hAnsi="Arial" w:cs="Arial"/>
          </w:rPr>
          <w:t>Further Guidance Here</w:t>
        </w:r>
      </w:hyperlink>
    </w:p>
    <w:p w14:paraId="3141A647" w14:textId="77777777" w:rsidR="00AE5284" w:rsidRDefault="00AE5284" w:rsidP="001D1293">
      <w:pPr>
        <w:pStyle w:val="NoSpacing"/>
        <w:rPr>
          <w:rFonts w:ascii="Arial" w:hAnsi="Arial" w:cs="Arial"/>
        </w:rPr>
      </w:pPr>
    </w:p>
    <w:p w14:paraId="68BA4C8B" w14:textId="423332EE" w:rsidR="00AE5284" w:rsidRDefault="004C44CB" w:rsidP="00DB1587">
      <w:pPr>
        <w:pStyle w:val="Heading2"/>
      </w:pPr>
      <w:r w:rsidRPr="004C44CB">
        <w:t>Reading Charity Accounts</w:t>
      </w:r>
    </w:p>
    <w:p w14:paraId="047B9F9F" w14:textId="77777777" w:rsidR="00724D67" w:rsidRDefault="00724D67" w:rsidP="00724D67">
      <w:pPr>
        <w:pStyle w:val="NoSpacing"/>
        <w:rPr>
          <w:rFonts w:ascii="Arial" w:hAnsi="Arial" w:cs="Arial"/>
        </w:rPr>
      </w:pPr>
      <w:r>
        <w:rPr>
          <w:rFonts w:ascii="Arial" w:hAnsi="Arial" w:cs="Arial"/>
        </w:rPr>
        <w:t>A charity’s accounts should include the following information:</w:t>
      </w:r>
    </w:p>
    <w:p w14:paraId="15A755DB" w14:textId="77777777" w:rsidR="00724D67" w:rsidRDefault="00724D67" w:rsidP="00724D67">
      <w:pPr>
        <w:pStyle w:val="NoSpacing"/>
        <w:numPr>
          <w:ilvl w:val="0"/>
          <w:numId w:val="15"/>
        </w:numPr>
        <w:rPr>
          <w:rFonts w:ascii="Arial" w:hAnsi="Arial" w:cs="Arial"/>
        </w:rPr>
      </w:pPr>
      <w:r>
        <w:rPr>
          <w:rFonts w:ascii="Arial" w:hAnsi="Arial" w:cs="Arial"/>
        </w:rPr>
        <w:t>Introduction (charity information)</w:t>
      </w:r>
    </w:p>
    <w:p w14:paraId="4F9563C9" w14:textId="77777777" w:rsidR="00724D67" w:rsidRDefault="00724D67" w:rsidP="00724D67">
      <w:pPr>
        <w:pStyle w:val="NoSpacing"/>
        <w:numPr>
          <w:ilvl w:val="0"/>
          <w:numId w:val="15"/>
        </w:numPr>
        <w:rPr>
          <w:rFonts w:ascii="Arial" w:hAnsi="Arial" w:cs="Arial"/>
        </w:rPr>
      </w:pPr>
      <w:r>
        <w:rPr>
          <w:rFonts w:ascii="Arial" w:hAnsi="Arial" w:cs="Arial"/>
        </w:rPr>
        <w:t>Annual Report</w:t>
      </w:r>
    </w:p>
    <w:p w14:paraId="3121FCD3" w14:textId="77777777" w:rsidR="00724D67" w:rsidRDefault="00724D67" w:rsidP="00724D67">
      <w:pPr>
        <w:pStyle w:val="NoSpacing"/>
        <w:numPr>
          <w:ilvl w:val="0"/>
          <w:numId w:val="15"/>
        </w:numPr>
        <w:rPr>
          <w:rFonts w:ascii="Arial" w:hAnsi="Arial" w:cs="Arial"/>
        </w:rPr>
      </w:pPr>
      <w:r>
        <w:rPr>
          <w:rFonts w:ascii="Arial" w:hAnsi="Arial" w:cs="Arial"/>
        </w:rPr>
        <w:t>Auditor’s Report (if required)</w:t>
      </w:r>
    </w:p>
    <w:p w14:paraId="7FECE637" w14:textId="77777777" w:rsidR="00724D67" w:rsidRDefault="00724D67" w:rsidP="00724D67">
      <w:pPr>
        <w:pStyle w:val="NoSpacing"/>
        <w:numPr>
          <w:ilvl w:val="0"/>
          <w:numId w:val="15"/>
        </w:numPr>
        <w:rPr>
          <w:rFonts w:ascii="Arial" w:hAnsi="Arial" w:cs="Arial"/>
        </w:rPr>
      </w:pPr>
      <w:r>
        <w:rPr>
          <w:rFonts w:ascii="Arial" w:hAnsi="Arial" w:cs="Arial"/>
        </w:rPr>
        <w:t>Statement of Financial Activities</w:t>
      </w:r>
    </w:p>
    <w:p w14:paraId="750788CE" w14:textId="77777777" w:rsidR="00724D67" w:rsidRDefault="00724D67" w:rsidP="00724D67">
      <w:pPr>
        <w:pStyle w:val="NoSpacing"/>
        <w:numPr>
          <w:ilvl w:val="0"/>
          <w:numId w:val="15"/>
        </w:numPr>
        <w:rPr>
          <w:rFonts w:ascii="Arial" w:hAnsi="Arial" w:cs="Arial"/>
        </w:rPr>
      </w:pPr>
      <w:r>
        <w:rPr>
          <w:rFonts w:ascii="Arial" w:hAnsi="Arial" w:cs="Arial"/>
        </w:rPr>
        <w:t>Balance Sheet</w:t>
      </w:r>
    </w:p>
    <w:p w14:paraId="3D184158" w14:textId="77777777" w:rsidR="00724D67" w:rsidRDefault="00724D67" w:rsidP="00724D67">
      <w:pPr>
        <w:pStyle w:val="NoSpacing"/>
        <w:numPr>
          <w:ilvl w:val="0"/>
          <w:numId w:val="15"/>
        </w:numPr>
        <w:rPr>
          <w:rFonts w:ascii="Arial" w:hAnsi="Arial" w:cs="Arial"/>
        </w:rPr>
      </w:pPr>
      <w:r>
        <w:rPr>
          <w:rFonts w:ascii="Arial" w:hAnsi="Arial" w:cs="Arial"/>
        </w:rPr>
        <w:t>Cash Flow Statement</w:t>
      </w:r>
    </w:p>
    <w:p w14:paraId="668FA635" w14:textId="77777777" w:rsidR="00724D67" w:rsidRDefault="00724D67" w:rsidP="00724D67">
      <w:pPr>
        <w:pStyle w:val="NoSpacing"/>
        <w:numPr>
          <w:ilvl w:val="0"/>
          <w:numId w:val="15"/>
        </w:numPr>
        <w:rPr>
          <w:rFonts w:ascii="Arial" w:hAnsi="Arial" w:cs="Arial"/>
        </w:rPr>
      </w:pPr>
      <w:r>
        <w:rPr>
          <w:rFonts w:ascii="Arial" w:hAnsi="Arial" w:cs="Arial"/>
        </w:rPr>
        <w:t>Notes, including disclosure of accounting policies</w:t>
      </w:r>
    </w:p>
    <w:p w14:paraId="2FE825E8" w14:textId="77777777" w:rsidR="00724D67" w:rsidRPr="009675EC" w:rsidRDefault="00724D67" w:rsidP="00724D67">
      <w:pPr>
        <w:pStyle w:val="NoSpacing"/>
        <w:numPr>
          <w:ilvl w:val="0"/>
          <w:numId w:val="15"/>
        </w:numPr>
        <w:rPr>
          <w:rFonts w:ascii="Arial" w:hAnsi="Arial" w:cs="Arial"/>
        </w:rPr>
      </w:pPr>
      <w:r>
        <w:rPr>
          <w:rFonts w:ascii="Arial" w:hAnsi="Arial" w:cs="Arial"/>
        </w:rPr>
        <w:t>Summary financial information and statements</w:t>
      </w:r>
    </w:p>
    <w:p w14:paraId="7BAA04F6" w14:textId="77777777" w:rsidR="004C44CB" w:rsidRPr="00244870" w:rsidRDefault="004C44CB" w:rsidP="001D1293">
      <w:pPr>
        <w:pStyle w:val="NoSpacing"/>
        <w:rPr>
          <w:rFonts w:ascii="Arial" w:hAnsi="Arial" w:cs="Arial"/>
          <w:b/>
          <w:bCs/>
          <w:sz w:val="10"/>
          <w:szCs w:val="10"/>
          <w:u w:val="single"/>
        </w:rPr>
      </w:pPr>
    </w:p>
    <w:p w14:paraId="29D6AABC" w14:textId="7D3C1DBE" w:rsidR="00244870" w:rsidRPr="00244870" w:rsidRDefault="00244870" w:rsidP="00244870">
      <w:pPr>
        <w:pStyle w:val="NoSpacing"/>
        <w:rPr>
          <w:rFonts w:ascii="Arial" w:hAnsi="Arial" w:cs="Arial"/>
        </w:rPr>
      </w:pPr>
      <w:r w:rsidRPr="00244870">
        <w:rPr>
          <w:rFonts w:ascii="Arial" w:hAnsi="Arial" w:cs="Arial"/>
        </w:rPr>
        <w:t xml:space="preserve">There are a number of terms that often appear in a charity’s accounts, which members of the public may not be familiar with Earned income (income generated by trading goods and delivering services under contract); Reserves (that part of a charity’s income funds which are freely available); Unrestricted funds (funds held for the general purposes of the charity); Restricted funds (funds </w:t>
      </w:r>
      <w:r w:rsidRPr="00244870">
        <w:rPr>
          <w:rFonts w:ascii="Arial" w:hAnsi="Arial" w:cs="Arial"/>
          <w:lang w:val="en-US"/>
        </w:rPr>
        <w:t xml:space="preserve">subject to special trusts or purposes specified by the donor); </w:t>
      </w:r>
      <w:r w:rsidRPr="00244870">
        <w:rPr>
          <w:rFonts w:ascii="Arial" w:hAnsi="Arial" w:cs="Arial"/>
        </w:rPr>
        <w:t xml:space="preserve">Designated funds (a type of unrestricted funds that the charity has earmarked for a purpose), and Voluntary income (donations or grants that do not provide any return to the donor other than the knowledge that someone will benefit from the donation). </w:t>
      </w:r>
    </w:p>
    <w:p w14:paraId="00E1282C" w14:textId="77777777" w:rsidR="00244870" w:rsidRDefault="00244870" w:rsidP="001D1293">
      <w:pPr>
        <w:pStyle w:val="NoSpacing"/>
        <w:rPr>
          <w:rFonts w:ascii="Arial" w:hAnsi="Arial" w:cs="Arial"/>
          <w:b/>
          <w:bCs/>
          <w:sz w:val="28"/>
          <w:szCs w:val="28"/>
          <w:u w:val="single"/>
        </w:rPr>
      </w:pPr>
    </w:p>
    <w:p w14:paraId="7BDB4714" w14:textId="2D59F6DB" w:rsidR="004C44CB" w:rsidRDefault="00000000" w:rsidP="001D1293">
      <w:pPr>
        <w:pStyle w:val="NoSpacing"/>
        <w:rPr>
          <w:rFonts w:ascii="Arial" w:hAnsi="Arial" w:cs="Arial"/>
        </w:rPr>
      </w:pPr>
      <w:hyperlink r:id="rId18" w:history="1">
        <w:r w:rsidR="004C44CB" w:rsidRPr="004C44CB">
          <w:rPr>
            <w:rStyle w:val="Hyperlink"/>
            <w:rFonts w:ascii="Arial" w:hAnsi="Arial" w:cs="Arial"/>
          </w:rPr>
          <w:t>Further Guidance Here</w:t>
        </w:r>
      </w:hyperlink>
    </w:p>
    <w:p w14:paraId="7B03D520" w14:textId="77777777" w:rsidR="005561B9" w:rsidRDefault="005561B9" w:rsidP="00FF6167">
      <w:pPr>
        <w:pStyle w:val="NoSpacing"/>
        <w:rPr>
          <w:rFonts w:ascii="Arial" w:hAnsi="Arial" w:cs="Arial"/>
          <w:b/>
          <w:bCs/>
          <w:sz w:val="28"/>
          <w:szCs w:val="28"/>
          <w:u w:val="single"/>
        </w:rPr>
      </w:pPr>
    </w:p>
    <w:p w14:paraId="717132CE" w14:textId="686EBADE" w:rsidR="00FF6167" w:rsidRPr="00FF6167" w:rsidRDefault="00FF6167" w:rsidP="00DB1587">
      <w:pPr>
        <w:pStyle w:val="Heading2"/>
      </w:pPr>
      <w:r w:rsidRPr="00FF6167">
        <w:t>The Charities SORP</w:t>
      </w:r>
    </w:p>
    <w:p w14:paraId="4667C63E" w14:textId="77777777" w:rsidR="00FF6167" w:rsidRDefault="00FF6167" w:rsidP="00FF6167">
      <w:pPr>
        <w:pStyle w:val="NoSpacing"/>
        <w:rPr>
          <w:rFonts w:ascii="Arial" w:hAnsi="Arial" w:cs="Arial"/>
        </w:rPr>
      </w:pPr>
      <w:r>
        <w:rPr>
          <w:rFonts w:ascii="Arial" w:hAnsi="Arial" w:cs="Arial"/>
        </w:rPr>
        <w:t>The Charities Statement of Recommended Practice (SORP) pr</w:t>
      </w:r>
      <w:r w:rsidRPr="002F7A70">
        <w:rPr>
          <w:rFonts w:ascii="Arial" w:hAnsi="Arial" w:cs="Arial"/>
        </w:rPr>
        <w:t xml:space="preserve">ovides a comprehensive framework of recommended practice for charity accounting and reporting. It provides a mechanism enabling charities to meet the legal requirement for their accounts to give a true and fair view and provides consistency in the sector's interpretation of accounting standards. </w:t>
      </w:r>
    </w:p>
    <w:p w14:paraId="5C8A8FE9" w14:textId="77777777" w:rsidR="00FF6167" w:rsidRDefault="00FF6167" w:rsidP="00FF6167">
      <w:pPr>
        <w:pStyle w:val="NoSpacing"/>
        <w:rPr>
          <w:rFonts w:ascii="Arial" w:hAnsi="Arial" w:cs="Arial"/>
        </w:rPr>
      </w:pPr>
    </w:p>
    <w:p w14:paraId="1EB6EFB7" w14:textId="162D2253" w:rsidR="00FF6167" w:rsidRDefault="00FF6167" w:rsidP="00FF6167">
      <w:pPr>
        <w:pStyle w:val="NoSpacing"/>
        <w:rPr>
          <w:rFonts w:ascii="Arial" w:hAnsi="Arial" w:cs="Arial"/>
        </w:rPr>
      </w:pPr>
      <w:r w:rsidRPr="002F7A70">
        <w:rPr>
          <w:rFonts w:ascii="Arial" w:hAnsi="Arial" w:cs="Arial"/>
        </w:rPr>
        <w:t>The SORP also provides recommendations for annual reporting that are relevant to sector and stakeholders needs and are in line with wider developments in reporting</w:t>
      </w:r>
      <w:r>
        <w:rPr>
          <w:rFonts w:ascii="Arial" w:hAnsi="Arial" w:cs="Arial"/>
        </w:rPr>
        <w:t xml:space="preserve"> for all Companies</w:t>
      </w:r>
      <w:r w:rsidRPr="002F7A70">
        <w:rPr>
          <w:rFonts w:ascii="Arial" w:hAnsi="Arial" w:cs="Arial"/>
        </w:rPr>
        <w:t>.</w:t>
      </w:r>
    </w:p>
    <w:p w14:paraId="6C28B9EA" w14:textId="388CFA9B" w:rsidR="00FF6167" w:rsidRDefault="00FF6167" w:rsidP="001D1293">
      <w:pPr>
        <w:pStyle w:val="NoSpacing"/>
        <w:rPr>
          <w:rFonts w:ascii="Arial" w:hAnsi="Arial" w:cs="Arial"/>
        </w:rPr>
      </w:pPr>
    </w:p>
    <w:p w14:paraId="53DDEC2C" w14:textId="68398906" w:rsidR="00FF6167" w:rsidRPr="004C44CB" w:rsidRDefault="00000000" w:rsidP="001D1293">
      <w:pPr>
        <w:pStyle w:val="NoSpacing"/>
        <w:rPr>
          <w:rFonts w:ascii="Arial" w:hAnsi="Arial" w:cs="Arial"/>
        </w:rPr>
      </w:pPr>
      <w:hyperlink r:id="rId19" w:history="1">
        <w:r w:rsidR="00FF6167" w:rsidRPr="003B04A2">
          <w:rPr>
            <w:rStyle w:val="Hyperlink"/>
            <w:rFonts w:ascii="Arial" w:hAnsi="Arial" w:cs="Arial"/>
          </w:rPr>
          <w:t>Full Resource Here</w:t>
        </w:r>
      </w:hyperlink>
      <w:r w:rsidR="00FF6167">
        <w:rPr>
          <w:rFonts w:ascii="Arial" w:hAnsi="Arial" w:cs="Arial"/>
        </w:rPr>
        <w:t xml:space="preserve"> </w:t>
      </w:r>
    </w:p>
    <w:sectPr w:rsidR="00FF6167" w:rsidRPr="004C44CB" w:rsidSect="009A4340">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43E5" w14:textId="77777777" w:rsidR="007407D6" w:rsidRDefault="007407D6" w:rsidP="009A4340">
      <w:r>
        <w:separator/>
      </w:r>
    </w:p>
  </w:endnote>
  <w:endnote w:type="continuationSeparator" w:id="0">
    <w:p w14:paraId="72578B4E" w14:textId="77777777" w:rsidR="007407D6" w:rsidRDefault="007407D6"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C9A6" w14:textId="77777777" w:rsidR="007407D6" w:rsidRDefault="007407D6" w:rsidP="009A4340">
      <w:r>
        <w:separator/>
      </w:r>
    </w:p>
  </w:footnote>
  <w:footnote w:type="continuationSeparator" w:id="0">
    <w:p w14:paraId="7FCF28D5" w14:textId="77777777" w:rsidR="007407D6" w:rsidRDefault="007407D6"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88A96A3" w:rsidR="009A4340" w:rsidRDefault="00296E21">
    <w:pPr>
      <w:pStyle w:val="Header"/>
    </w:pPr>
    <w:r w:rsidRPr="009A4340">
      <w:rPr>
        <w:noProof/>
      </w:rPr>
      <w:drawing>
        <wp:anchor distT="0" distB="0" distL="114300" distR="114300" simplePos="0" relativeHeight="251660288" behindDoc="0" locked="0" layoutInCell="1" allowOverlap="1" wp14:anchorId="2963E7B4" wp14:editId="633E1ACC">
          <wp:simplePos x="0" y="0"/>
          <wp:positionH relativeFrom="column">
            <wp:posOffset>4970780</wp:posOffset>
          </wp:positionH>
          <wp:positionV relativeFrom="paragraph">
            <wp:posOffset>-335280</wp:posOffset>
          </wp:positionV>
          <wp:extent cx="1969770" cy="596900"/>
          <wp:effectExtent l="0" t="0" r="0" b="0"/>
          <wp:wrapSquare wrapText="bothSides"/>
          <wp:docPr id="4"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770" cy="5969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2336" behindDoc="0" locked="0" layoutInCell="1" allowOverlap="1" wp14:anchorId="5A3D59E2" wp14:editId="28EC6EC5">
          <wp:simplePos x="0" y="0"/>
          <wp:positionH relativeFrom="column">
            <wp:posOffset>-266700</wp:posOffset>
          </wp:positionH>
          <wp:positionV relativeFrom="paragraph">
            <wp:posOffset>-191135</wp:posOffset>
          </wp:positionV>
          <wp:extent cx="2973705" cy="457200"/>
          <wp:effectExtent l="0" t="0" r="0" b="0"/>
          <wp:wrapSquare wrapText="bothSides"/>
          <wp:docPr id="1634404298" name="Picture 1" descr="A black and white photo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 black and white photo of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1F"/>
    <w:multiLevelType w:val="multilevel"/>
    <w:tmpl w:val="351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43E2"/>
    <w:multiLevelType w:val="hybridMultilevel"/>
    <w:tmpl w:val="F68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6457F"/>
    <w:multiLevelType w:val="hybridMultilevel"/>
    <w:tmpl w:val="CCDA6C18"/>
    <w:lvl w:ilvl="0" w:tplc="59FCA634">
      <w:start w:val="1"/>
      <w:numFmt w:val="bullet"/>
      <w:lvlText w:val="•"/>
      <w:lvlJc w:val="left"/>
      <w:pPr>
        <w:tabs>
          <w:tab w:val="num" w:pos="720"/>
        </w:tabs>
        <w:ind w:left="720" w:hanging="360"/>
      </w:pPr>
      <w:rPr>
        <w:rFonts w:ascii="Arial" w:hAnsi="Arial" w:hint="default"/>
      </w:rPr>
    </w:lvl>
    <w:lvl w:ilvl="1" w:tplc="CC3CD19C">
      <w:start w:val="1"/>
      <w:numFmt w:val="bullet"/>
      <w:lvlText w:val="•"/>
      <w:lvlJc w:val="left"/>
      <w:pPr>
        <w:tabs>
          <w:tab w:val="num" w:pos="1440"/>
        </w:tabs>
        <w:ind w:left="1440" w:hanging="360"/>
      </w:pPr>
      <w:rPr>
        <w:rFonts w:ascii="Arial" w:hAnsi="Arial" w:hint="default"/>
      </w:rPr>
    </w:lvl>
    <w:lvl w:ilvl="2" w:tplc="F7EA5C3E">
      <w:start w:val="1"/>
      <w:numFmt w:val="bullet"/>
      <w:lvlText w:val="•"/>
      <w:lvlJc w:val="left"/>
      <w:pPr>
        <w:tabs>
          <w:tab w:val="num" w:pos="2160"/>
        </w:tabs>
        <w:ind w:left="2160" w:hanging="360"/>
      </w:pPr>
      <w:rPr>
        <w:rFonts w:ascii="Arial" w:hAnsi="Arial" w:hint="default"/>
      </w:rPr>
    </w:lvl>
    <w:lvl w:ilvl="3" w:tplc="34A63890" w:tentative="1">
      <w:start w:val="1"/>
      <w:numFmt w:val="bullet"/>
      <w:lvlText w:val="•"/>
      <w:lvlJc w:val="left"/>
      <w:pPr>
        <w:tabs>
          <w:tab w:val="num" w:pos="2880"/>
        </w:tabs>
        <w:ind w:left="2880" w:hanging="360"/>
      </w:pPr>
      <w:rPr>
        <w:rFonts w:ascii="Arial" w:hAnsi="Arial" w:hint="default"/>
      </w:rPr>
    </w:lvl>
    <w:lvl w:ilvl="4" w:tplc="5D026A96" w:tentative="1">
      <w:start w:val="1"/>
      <w:numFmt w:val="bullet"/>
      <w:lvlText w:val="•"/>
      <w:lvlJc w:val="left"/>
      <w:pPr>
        <w:tabs>
          <w:tab w:val="num" w:pos="3600"/>
        </w:tabs>
        <w:ind w:left="3600" w:hanging="360"/>
      </w:pPr>
      <w:rPr>
        <w:rFonts w:ascii="Arial" w:hAnsi="Arial" w:hint="default"/>
      </w:rPr>
    </w:lvl>
    <w:lvl w:ilvl="5" w:tplc="8F1CB47E" w:tentative="1">
      <w:start w:val="1"/>
      <w:numFmt w:val="bullet"/>
      <w:lvlText w:val="•"/>
      <w:lvlJc w:val="left"/>
      <w:pPr>
        <w:tabs>
          <w:tab w:val="num" w:pos="4320"/>
        </w:tabs>
        <w:ind w:left="4320" w:hanging="360"/>
      </w:pPr>
      <w:rPr>
        <w:rFonts w:ascii="Arial" w:hAnsi="Arial" w:hint="default"/>
      </w:rPr>
    </w:lvl>
    <w:lvl w:ilvl="6" w:tplc="E4EA6878" w:tentative="1">
      <w:start w:val="1"/>
      <w:numFmt w:val="bullet"/>
      <w:lvlText w:val="•"/>
      <w:lvlJc w:val="left"/>
      <w:pPr>
        <w:tabs>
          <w:tab w:val="num" w:pos="5040"/>
        </w:tabs>
        <w:ind w:left="5040" w:hanging="360"/>
      </w:pPr>
      <w:rPr>
        <w:rFonts w:ascii="Arial" w:hAnsi="Arial" w:hint="default"/>
      </w:rPr>
    </w:lvl>
    <w:lvl w:ilvl="7" w:tplc="28EA2508" w:tentative="1">
      <w:start w:val="1"/>
      <w:numFmt w:val="bullet"/>
      <w:lvlText w:val="•"/>
      <w:lvlJc w:val="left"/>
      <w:pPr>
        <w:tabs>
          <w:tab w:val="num" w:pos="5760"/>
        </w:tabs>
        <w:ind w:left="5760" w:hanging="360"/>
      </w:pPr>
      <w:rPr>
        <w:rFonts w:ascii="Arial" w:hAnsi="Arial" w:hint="default"/>
      </w:rPr>
    </w:lvl>
    <w:lvl w:ilvl="8" w:tplc="EE46B2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E59F1"/>
    <w:multiLevelType w:val="multilevel"/>
    <w:tmpl w:val="87F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D30E9"/>
    <w:multiLevelType w:val="multilevel"/>
    <w:tmpl w:val="377C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B6DB2"/>
    <w:multiLevelType w:val="hybridMultilevel"/>
    <w:tmpl w:val="1534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E689F"/>
    <w:multiLevelType w:val="hybridMultilevel"/>
    <w:tmpl w:val="F0C6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E687E"/>
    <w:multiLevelType w:val="hybridMultilevel"/>
    <w:tmpl w:val="3A4AB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A162C"/>
    <w:multiLevelType w:val="hybridMultilevel"/>
    <w:tmpl w:val="9B0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6220D"/>
    <w:multiLevelType w:val="hybridMultilevel"/>
    <w:tmpl w:val="55D2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D5038"/>
    <w:multiLevelType w:val="hybridMultilevel"/>
    <w:tmpl w:val="7332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75447D"/>
    <w:multiLevelType w:val="hybridMultilevel"/>
    <w:tmpl w:val="625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14" w15:restartNumberingAfterBreak="0">
    <w:nsid w:val="6B766F1E"/>
    <w:multiLevelType w:val="multilevel"/>
    <w:tmpl w:val="45E2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6C3EE0"/>
    <w:multiLevelType w:val="multilevel"/>
    <w:tmpl w:val="B62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3"/>
  </w:num>
  <w:num w:numId="2" w16cid:durableId="391468303">
    <w:abstractNumId w:val="16"/>
  </w:num>
  <w:num w:numId="3" w16cid:durableId="1553423180">
    <w:abstractNumId w:val="4"/>
  </w:num>
  <w:num w:numId="4" w16cid:durableId="1981424417">
    <w:abstractNumId w:val="0"/>
  </w:num>
  <w:num w:numId="5" w16cid:durableId="114033186">
    <w:abstractNumId w:val="14"/>
  </w:num>
  <w:num w:numId="6" w16cid:durableId="409229602">
    <w:abstractNumId w:val="10"/>
  </w:num>
  <w:num w:numId="7" w16cid:durableId="599725963">
    <w:abstractNumId w:val="9"/>
  </w:num>
  <w:num w:numId="8" w16cid:durableId="613943950">
    <w:abstractNumId w:val="8"/>
  </w:num>
  <w:num w:numId="9" w16cid:durableId="1374580478">
    <w:abstractNumId w:val="3"/>
  </w:num>
  <w:num w:numId="10" w16cid:durableId="2124957045">
    <w:abstractNumId w:val="15"/>
  </w:num>
  <w:num w:numId="11" w16cid:durableId="1011685256">
    <w:abstractNumId w:val="12"/>
  </w:num>
  <w:num w:numId="12" w16cid:durableId="1583251252">
    <w:abstractNumId w:val="1"/>
  </w:num>
  <w:num w:numId="13" w16cid:durableId="464542095">
    <w:abstractNumId w:val="5"/>
  </w:num>
  <w:num w:numId="14" w16cid:durableId="1223448533">
    <w:abstractNumId w:val="7"/>
  </w:num>
  <w:num w:numId="15" w16cid:durableId="195510391">
    <w:abstractNumId w:val="6"/>
  </w:num>
  <w:num w:numId="16" w16cid:durableId="1803309198">
    <w:abstractNumId w:val="11"/>
  </w:num>
  <w:num w:numId="17" w16cid:durableId="340670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4C18"/>
    <w:rsid w:val="000536C9"/>
    <w:rsid w:val="000771B6"/>
    <w:rsid w:val="000F18EB"/>
    <w:rsid w:val="00110D42"/>
    <w:rsid w:val="00125C9A"/>
    <w:rsid w:val="00176D02"/>
    <w:rsid w:val="00182E90"/>
    <w:rsid w:val="001D1293"/>
    <w:rsid w:val="001F7ACC"/>
    <w:rsid w:val="0020218A"/>
    <w:rsid w:val="00244870"/>
    <w:rsid w:val="002676A3"/>
    <w:rsid w:val="00296E21"/>
    <w:rsid w:val="002D7303"/>
    <w:rsid w:val="003639AA"/>
    <w:rsid w:val="003B04A2"/>
    <w:rsid w:val="003D6625"/>
    <w:rsid w:val="004110C1"/>
    <w:rsid w:val="00422824"/>
    <w:rsid w:val="004B3D45"/>
    <w:rsid w:val="004C44CB"/>
    <w:rsid w:val="004F3E31"/>
    <w:rsid w:val="004F789E"/>
    <w:rsid w:val="005155E6"/>
    <w:rsid w:val="00516F23"/>
    <w:rsid w:val="00517F13"/>
    <w:rsid w:val="00534696"/>
    <w:rsid w:val="005561B9"/>
    <w:rsid w:val="00565279"/>
    <w:rsid w:val="00585528"/>
    <w:rsid w:val="005E7DA8"/>
    <w:rsid w:val="005F177F"/>
    <w:rsid w:val="00602393"/>
    <w:rsid w:val="006260B8"/>
    <w:rsid w:val="006C50AD"/>
    <w:rsid w:val="006D59E0"/>
    <w:rsid w:val="006E28D8"/>
    <w:rsid w:val="006E49CD"/>
    <w:rsid w:val="00724D67"/>
    <w:rsid w:val="007407D6"/>
    <w:rsid w:val="007777BB"/>
    <w:rsid w:val="008116FC"/>
    <w:rsid w:val="008434DF"/>
    <w:rsid w:val="008777DF"/>
    <w:rsid w:val="00881154"/>
    <w:rsid w:val="008E3153"/>
    <w:rsid w:val="00927C9A"/>
    <w:rsid w:val="009578A2"/>
    <w:rsid w:val="0096586B"/>
    <w:rsid w:val="00993B0E"/>
    <w:rsid w:val="00997137"/>
    <w:rsid w:val="009A4340"/>
    <w:rsid w:val="009B5A0B"/>
    <w:rsid w:val="009D39A8"/>
    <w:rsid w:val="009F33E7"/>
    <w:rsid w:val="00A37D72"/>
    <w:rsid w:val="00A83964"/>
    <w:rsid w:val="00A844BD"/>
    <w:rsid w:val="00A94987"/>
    <w:rsid w:val="00AA4208"/>
    <w:rsid w:val="00AC2FDD"/>
    <w:rsid w:val="00AE5284"/>
    <w:rsid w:val="00AF0C8D"/>
    <w:rsid w:val="00B934CF"/>
    <w:rsid w:val="00BB0A96"/>
    <w:rsid w:val="00BB198E"/>
    <w:rsid w:val="00BB459F"/>
    <w:rsid w:val="00BB7C43"/>
    <w:rsid w:val="00BC69E1"/>
    <w:rsid w:val="00BD01AA"/>
    <w:rsid w:val="00BD1BB0"/>
    <w:rsid w:val="00BF69F7"/>
    <w:rsid w:val="00CE6D4B"/>
    <w:rsid w:val="00CF50F9"/>
    <w:rsid w:val="00D01795"/>
    <w:rsid w:val="00D045AA"/>
    <w:rsid w:val="00D24FB1"/>
    <w:rsid w:val="00DB1587"/>
    <w:rsid w:val="00DF40B8"/>
    <w:rsid w:val="00E07824"/>
    <w:rsid w:val="00E2607C"/>
    <w:rsid w:val="00E6558A"/>
    <w:rsid w:val="00E720E8"/>
    <w:rsid w:val="00EC1BD9"/>
    <w:rsid w:val="00EE2ABB"/>
    <w:rsid w:val="00F22A0B"/>
    <w:rsid w:val="00F545E1"/>
    <w:rsid w:val="00F552CC"/>
    <w:rsid w:val="00F80EBB"/>
    <w:rsid w:val="00F82BC4"/>
    <w:rsid w:val="00F968D0"/>
    <w:rsid w:val="00FE453B"/>
    <w:rsid w:val="00FF61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E1"/>
  </w:style>
  <w:style w:type="paragraph" w:styleId="Heading1">
    <w:name w:val="heading 1"/>
    <w:basedOn w:val="Normal"/>
    <w:next w:val="Normal"/>
    <w:link w:val="Heading1Char"/>
    <w:uiPriority w:val="9"/>
    <w:qFormat/>
    <w:rsid w:val="00F545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545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545E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545E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545E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545E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545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45E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545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semiHidden/>
    <w:unhideWhenUsed/>
    <w:rsid w:val="008777DF"/>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F545E1"/>
    <w:pPr>
      <w:spacing w:after="0" w:line="240" w:lineRule="auto"/>
    </w:pPr>
  </w:style>
  <w:style w:type="paragraph" w:styleId="ListParagraph">
    <w:name w:val="List Paragraph"/>
    <w:basedOn w:val="Normal"/>
    <w:uiPriority w:val="34"/>
    <w:qFormat/>
    <w:rsid w:val="00F545E1"/>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F545E1"/>
    <w:rPr>
      <w:i/>
      <w:iCs/>
    </w:rPr>
  </w:style>
  <w:style w:type="character" w:styleId="Strong">
    <w:name w:val="Strong"/>
    <w:basedOn w:val="DefaultParagraphFont"/>
    <w:uiPriority w:val="22"/>
    <w:qFormat/>
    <w:rsid w:val="00F545E1"/>
    <w:rPr>
      <w:b/>
      <w:bCs/>
    </w:rPr>
  </w:style>
  <w:style w:type="paragraph" w:styleId="FootnoteText">
    <w:name w:val="footnote text"/>
    <w:basedOn w:val="Normal"/>
    <w:link w:val="FootnoteTextChar"/>
    <w:uiPriority w:val="99"/>
    <w:unhideWhenUsed/>
    <w:rsid w:val="00BD01AA"/>
  </w:style>
  <w:style w:type="character" w:customStyle="1" w:styleId="FootnoteTextChar">
    <w:name w:val="Footnote Text Char"/>
    <w:basedOn w:val="DefaultParagraphFont"/>
    <w:link w:val="FootnoteText"/>
    <w:uiPriority w:val="99"/>
    <w:rsid w:val="00BD01AA"/>
    <w:rPr>
      <w:kern w:val="0"/>
      <w14:ligatures w14:val="none"/>
    </w:rPr>
  </w:style>
  <w:style w:type="character" w:styleId="FootnoteReference">
    <w:name w:val="footnote reference"/>
    <w:basedOn w:val="DefaultParagraphFont"/>
    <w:uiPriority w:val="99"/>
    <w:unhideWhenUsed/>
    <w:rsid w:val="00BD01AA"/>
    <w:rPr>
      <w:vertAlign w:val="superscript"/>
    </w:rPr>
  </w:style>
  <w:style w:type="character" w:styleId="FollowedHyperlink">
    <w:name w:val="FollowedHyperlink"/>
    <w:basedOn w:val="DefaultParagraphFont"/>
    <w:uiPriority w:val="99"/>
    <w:semiHidden/>
    <w:unhideWhenUsed/>
    <w:rsid w:val="00FF6167"/>
    <w:rPr>
      <w:color w:val="954F72" w:themeColor="followedHyperlink"/>
      <w:u w:val="single"/>
    </w:rPr>
  </w:style>
  <w:style w:type="paragraph" w:styleId="Title">
    <w:name w:val="Title"/>
    <w:basedOn w:val="Normal"/>
    <w:next w:val="Normal"/>
    <w:link w:val="TitleChar"/>
    <w:uiPriority w:val="10"/>
    <w:qFormat/>
    <w:rsid w:val="00F545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45E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F545E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545E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545E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545E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545E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545E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545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45E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545E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545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545E1"/>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sid w:val="00F545E1"/>
    <w:rPr>
      <w:i/>
      <w:iCs/>
      <w:color w:val="000000" w:themeColor="text1"/>
    </w:rPr>
  </w:style>
  <w:style w:type="character" w:customStyle="1" w:styleId="QuoteChar">
    <w:name w:val="Quote Char"/>
    <w:basedOn w:val="DefaultParagraphFont"/>
    <w:link w:val="Quote"/>
    <w:uiPriority w:val="29"/>
    <w:rsid w:val="00F545E1"/>
    <w:rPr>
      <w:i/>
      <w:iCs/>
      <w:color w:val="000000" w:themeColor="text1"/>
    </w:rPr>
  </w:style>
  <w:style w:type="paragraph" w:styleId="IntenseQuote">
    <w:name w:val="Intense Quote"/>
    <w:basedOn w:val="Normal"/>
    <w:next w:val="Normal"/>
    <w:link w:val="IntenseQuoteChar"/>
    <w:uiPriority w:val="30"/>
    <w:qFormat/>
    <w:rsid w:val="00F545E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545E1"/>
    <w:rPr>
      <w:b/>
      <w:bCs/>
      <w:i/>
      <w:iCs/>
      <w:color w:val="4472C4" w:themeColor="accent1"/>
    </w:rPr>
  </w:style>
  <w:style w:type="character" w:styleId="SubtleEmphasis">
    <w:name w:val="Subtle Emphasis"/>
    <w:basedOn w:val="DefaultParagraphFont"/>
    <w:uiPriority w:val="19"/>
    <w:qFormat/>
    <w:rsid w:val="00F545E1"/>
    <w:rPr>
      <w:i/>
      <w:iCs/>
      <w:color w:val="808080" w:themeColor="text1" w:themeTint="7F"/>
    </w:rPr>
  </w:style>
  <w:style w:type="character" w:styleId="IntenseEmphasis">
    <w:name w:val="Intense Emphasis"/>
    <w:basedOn w:val="DefaultParagraphFont"/>
    <w:uiPriority w:val="21"/>
    <w:qFormat/>
    <w:rsid w:val="00F545E1"/>
    <w:rPr>
      <w:b/>
      <w:bCs/>
      <w:i/>
      <w:iCs/>
      <w:color w:val="4472C4" w:themeColor="accent1"/>
    </w:rPr>
  </w:style>
  <w:style w:type="character" w:styleId="SubtleReference">
    <w:name w:val="Subtle Reference"/>
    <w:basedOn w:val="DefaultParagraphFont"/>
    <w:uiPriority w:val="31"/>
    <w:qFormat/>
    <w:rsid w:val="00F545E1"/>
    <w:rPr>
      <w:smallCaps/>
      <w:color w:val="ED7D31" w:themeColor="accent2"/>
      <w:u w:val="single"/>
    </w:rPr>
  </w:style>
  <w:style w:type="character" w:styleId="IntenseReference">
    <w:name w:val="Intense Reference"/>
    <w:basedOn w:val="DefaultParagraphFont"/>
    <w:uiPriority w:val="32"/>
    <w:qFormat/>
    <w:rsid w:val="00F545E1"/>
    <w:rPr>
      <w:b/>
      <w:bCs/>
      <w:smallCaps/>
      <w:color w:val="ED7D31" w:themeColor="accent2"/>
      <w:spacing w:val="5"/>
      <w:u w:val="single"/>
    </w:rPr>
  </w:style>
  <w:style w:type="character" w:styleId="BookTitle">
    <w:name w:val="Book Title"/>
    <w:basedOn w:val="DefaultParagraphFont"/>
    <w:uiPriority w:val="33"/>
    <w:qFormat/>
    <w:rsid w:val="00F545E1"/>
    <w:rPr>
      <w:b/>
      <w:bCs/>
      <w:smallCaps/>
      <w:spacing w:val="5"/>
    </w:rPr>
  </w:style>
  <w:style w:type="paragraph" w:styleId="TOCHeading">
    <w:name w:val="TOC Heading"/>
    <w:basedOn w:val="Heading1"/>
    <w:next w:val="Normal"/>
    <w:uiPriority w:val="39"/>
    <w:semiHidden/>
    <w:unhideWhenUsed/>
    <w:qFormat/>
    <w:rsid w:val="00F545E1"/>
    <w:pPr>
      <w:outlineLvl w:val="9"/>
    </w:pPr>
  </w:style>
  <w:style w:type="paragraph" w:customStyle="1" w:styleId="PersonalName">
    <w:name w:val="Personal Name"/>
    <w:basedOn w:val="Title"/>
    <w:rsid w:val="00F545E1"/>
    <w:rPr>
      <w:b/>
      <w:caps/>
      <w:color w:val="000000"/>
      <w:sz w:val="28"/>
      <w:szCs w:val="28"/>
    </w:rPr>
  </w:style>
  <w:style w:type="paragraph" w:styleId="Caption">
    <w:name w:val="caption"/>
    <w:basedOn w:val="Normal"/>
    <w:next w:val="Normal"/>
    <w:uiPriority w:val="35"/>
    <w:semiHidden/>
    <w:unhideWhenUsed/>
    <w:qFormat/>
    <w:rsid w:val="00F545E1"/>
    <w:pPr>
      <w:spacing w:line="240" w:lineRule="auto"/>
    </w:pPr>
    <w:rPr>
      <w:b/>
      <w:bCs/>
      <w:color w:val="4472C4" w:themeColor="accent1"/>
      <w:sz w:val="18"/>
      <w:szCs w:val="18"/>
    </w:rPr>
  </w:style>
  <w:style w:type="character" w:customStyle="1" w:styleId="NoSpacingChar">
    <w:name w:val="No Spacing Char"/>
    <w:basedOn w:val="DefaultParagraphFont"/>
    <w:link w:val="NoSpacing"/>
    <w:uiPriority w:val="1"/>
    <w:rsid w:val="00F5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355885982">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522327757">
      <w:bodyDiv w:val="1"/>
      <w:marLeft w:val="0"/>
      <w:marRight w:val="0"/>
      <w:marTop w:val="0"/>
      <w:marBottom w:val="0"/>
      <w:divBdr>
        <w:top w:val="none" w:sz="0" w:space="0" w:color="auto"/>
        <w:left w:val="none" w:sz="0" w:space="0" w:color="auto"/>
        <w:bottom w:val="none" w:sz="0" w:space="0" w:color="auto"/>
        <w:right w:val="none" w:sz="0" w:space="0" w:color="auto"/>
      </w:divBdr>
    </w:div>
    <w:div w:id="529222417">
      <w:bodyDiv w:val="1"/>
      <w:marLeft w:val="0"/>
      <w:marRight w:val="0"/>
      <w:marTop w:val="0"/>
      <w:marBottom w:val="0"/>
      <w:divBdr>
        <w:top w:val="none" w:sz="0" w:space="0" w:color="auto"/>
        <w:left w:val="none" w:sz="0" w:space="0" w:color="auto"/>
        <w:bottom w:val="none" w:sz="0" w:space="0" w:color="auto"/>
        <w:right w:val="none" w:sz="0" w:space="0" w:color="auto"/>
      </w:divBdr>
    </w:div>
    <w:div w:id="559630639">
      <w:bodyDiv w:val="1"/>
      <w:marLeft w:val="0"/>
      <w:marRight w:val="0"/>
      <w:marTop w:val="0"/>
      <w:marBottom w:val="0"/>
      <w:divBdr>
        <w:top w:val="none" w:sz="0" w:space="0" w:color="auto"/>
        <w:left w:val="none" w:sz="0" w:space="0" w:color="auto"/>
        <w:bottom w:val="none" w:sz="0" w:space="0" w:color="auto"/>
        <w:right w:val="none" w:sz="0" w:space="0" w:color="auto"/>
      </w:divBdr>
    </w:div>
    <w:div w:id="574511659">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1953882">
      <w:bodyDiv w:val="1"/>
      <w:marLeft w:val="0"/>
      <w:marRight w:val="0"/>
      <w:marTop w:val="0"/>
      <w:marBottom w:val="0"/>
      <w:divBdr>
        <w:top w:val="none" w:sz="0" w:space="0" w:color="auto"/>
        <w:left w:val="none" w:sz="0" w:space="0" w:color="auto"/>
        <w:bottom w:val="none" w:sz="0" w:space="0" w:color="auto"/>
        <w:right w:val="none" w:sz="0" w:space="0" w:color="auto"/>
      </w:divBdr>
    </w:div>
    <w:div w:id="668827044">
      <w:bodyDiv w:val="1"/>
      <w:marLeft w:val="0"/>
      <w:marRight w:val="0"/>
      <w:marTop w:val="0"/>
      <w:marBottom w:val="0"/>
      <w:divBdr>
        <w:top w:val="none" w:sz="0" w:space="0" w:color="auto"/>
        <w:left w:val="none" w:sz="0" w:space="0" w:color="auto"/>
        <w:bottom w:val="none" w:sz="0" w:space="0" w:color="auto"/>
        <w:right w:val="none" w:sz="0" w:space="0" w:color="auto"/>
      </w:divBdr>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60780755">
      <w:bodyDiv w:val="1"/>
      <w:marLeft w:val="0"/>
      <w:marRight w:val="0"/>
      <w:marTop w:val="0"/>
      <w:marBottom w:val="0"/>
      <w:divBdr>
        <w:top w:val="none" w:sz="0" w:space="0" w:color="auto"/>
        <w:left w:val="none" w:sz="0" w:space="0" w:color="auto"/>
        <w:bottom w:val="none" w:sz="0" w:space="0" w:color="auto"/>
        <w:right w:val="none" w:sz="0" w:space="0" w:color="auto"/>
      </w:divBdr>
    </w:div>
    <w:div w:id="909120208">
      <w:bodyDiv w:val="1"/>
      <w:marLeft w:val="0"/>
      <w:marRight w:val="0"/>
      <w:marTop w:val="0"/>
      <w:marBottom w:val="0"/>
      <w:divBdr>
        <w:top w:val="none" w:sz="0" w:space="0" w:color="auto"/>
        <w:left w:val="none" w:sz="0" w:space="0" w:color="auto"/>
        <w:bottom w:val="none" w:sz="0" w:space="0" w:color="auto"/>
        <w:right w:val="none" w:sz="0" w:space="0" w:color="auto"/>
      </w:divBdr>
    </w:div>
    <w:div w:id="909967506">
      <w:bodyDiv w:val="1"/>
      <w:marLeft w:val="0"/>
      <w:marRight w:val="0"/>
      <w:marTop w:val="0"/>
      <w:marBottom w:val="0"/>
      <w:divBdr>
        <w:top w:val="none" w:sz="0" w:space="0" w:color="auto"/>
        <w:left w:val="none" w:sz="0" w:space="0" w:color="auto"/>
        <w:bottom w:val="none" w:sz="0" w:space="0" w:color="auto"/>
        <w:right w:val="none" w:sz="0" w:space="0" w:color="auto"/>
      </w:divBdr>
      <w:divsChild>
        <w:div w:id="1385175590">
          <w:marLeft w:val="0"/>
          <w:marRight w:val="0"/>
          <w:marTop w:val="0"/>
          <w:marBottom w:val="0"/>
          <w:divBdr>
            <w:top w:val="none" w:sz="0" w:space="0" w:color="auto"/>
            <w:left w:val="none" w:sz="0" w:space="0" w:color="auto"/>
            <w:bottom w:val="none" w:sz="0" w:space="0" w:color="auto"/>
            <w:right w:val="none" w:sz="0" w:space="0" w:color="auto"/>
          </w:divBdr>
          <w:divsChild>
            <w:div w:id="275647941">
              <w:marLeft w:val="0"/>
              <w:marRight w:val="0"/>
              <w:marTop w:val="0"/>
              <w:marBottom w:val="0"/>
              <w:divBdr>
                <w:top w:val="none" w:sz="0" w:space="0" w:color="auto"/>
                <w:left w:val="none" w:sz="0" w:space="0" w:color="auto"/>
                <w:bottom w:val="none" w:sz="0" w:space="0" w:color="auto"/>
                <w:right w:val="none" w:sz="0" w:space="0" w:color="auto"/>
              </w:divBdr>
              <w:divsChild>
                <w:div w:id="1023171874">
                  <w:marLeft w:val="0"/>
                  <w:marRight w:val="0"/>
                  <w:marTop w:val="0"/>
                  <w:marBottom w:val="0"/>
                  <w:divBdr>
                    <w:top w:val="none" w:sz="0" w:space="0" w:color="auto"/>
                    <w:left w:val="none" w:sz="0" w:space="0" w:color="auto"/>
                    <w:bottom w:val="none" w:sz="0" w:space="0" w:color="auto"/>
                    <w:right w:val="none" w:sz="0" w:space="0" w:color="auto"/>
                  </w:divBdr>
                  <w:divsChild>
                    <w:div w:id="51464382">
                      <w:marLeft w:val="0"/>
                      <w:marRight w:val="0"/>
                      <w:marTop w:val="0"/>
                      <w:marBottom w:val="0"/>
                      <w:divBdr>
                        <w:top w:val="none" w:sz="0" w:space="0" w:color="auto"/>
                        <w:left w:val="none" w:sz="0" w:space="0" w:color="auto"/>
                        <w:bottom w:val="none" w:sz="0" w:space="0" w:color="auto"/>
                        <w:right w:val="none" w:sz="0" w:space="0" w:color="auto"/>
                      </w:divBdr>
                      <w:divsChild>
                        <w:div w:id="893078793">
                          <w:marLeft w:val="300"/>
                          <w:marRight w:val="300"/>
                          <w:marTop w:val="300"/>
                          <w:marBottom w:val="0"/>
                          <w:divBdr>
                            <w:top w:val="none" w:sz="0" w:space="0" w:color="auto"/>
                            <w:left w:val="none" w:sz="0" w:space="0" w:color="auto"/>
                            <w:bottom w:val="none" w:sz="0" w:space="0" w:color="auto"/>
                            <w:right w:val="none" w:sz="0" w:space="0" w:color="auto"/>
                          </w:divBdr>
                          <w:divsChild>
                            <w:div w:id="222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4554">
          <w:marLeft w:val="0"/>
          <w:marRight w:val="0"/>
          <w:marTop w:val="0"/>
          <w:marBottom w:val="0"/>
          <w:divBdr>
            <w:top w:val="none" w:sz="0" w:space="0" w:color="auto"/>
            <w:left w:val="none" w:sz="0" w:space="0" w:color="auto"/>
            <w:bottom w:val="none" w:sz="0" w:space="0" w:color="auto"/>
            <w:right w:val="none" w:sz="0" w:space="0" w:color="auto"/>
          </w:divBdr>
          <w:divsChild>
            <w:div w:id="1262564400">
              <w:marLeft w:val="0"/>
              <w:marRight w:val="0"/>
              <w:marTop w:val="0"/>
              <w:marBottom w:val="0"/>
              <w:divBdr>
                <w:top w:val="none" w:sz="0" w:space="0" w:color="auto"/>
                <w:left w:val="none" w:sz="0" w:space="0" w:color="auto"/>
                <w:bottom w:val="none" w:sz="0" w:space="0" w:color="auto"/>
                <w:right w:val="none" w:sz="0" w:space="0" w:color="auto"/>
              </w:divBdr>
              <w:divsChild>
                <w:div w:id="1957520566">
                  <w:marLeft w:val="0"/>
                  <w:marRight w:val="0"/>
                  <w:marTop w:val="0"/>
                  <w:marBottom w:val="0"/>
                  <w:divBdr>
                    <w:top w:val="none" w:sz="0" w:space="0" w:color="auto"/>
                    <w:left w:val="none" w:sz="0" w:space="0" w:color="auto"/>
                    <w:bottom w:val="none" w:sz="0" w:space="0" w:color="auto"/>
                    <w:right w:val="none" w:sz="0" w:space="0" w:color="auto"/>
                  </w:divBdr>
                  <w:divsChild>
                    <w:div w:id="1959069391">
                      <w:marLeft w:val="0"/>
                      <w:marRight w:val="0"/>
                      <w:marTop w:val="0"/>
                      <w:marBottom w:val="0"/>
                      <w:divBdr>
                        <w:top w:val="none" w:sz="0" w:space="0" w:color="auto"/>
                        <w:left w:val="none" w:sz="0" w:space="0" w:color="auto"/>
                        <w:bottom w:val="none" w:sz="0" w:space="0" w:color="auto"/>
                        <w:right w:val="none" w:sz="0" w:space="0" w:color="auto"/>
                      </w:divBdr>
                      <w:divsChild>
                        <w:div w:id="1051534128">
                          <w:marLeft w:val="300"/>
                          <w:marRight w:val="0"/>
                          <w:marTop w:val="0"/>
                          <w:marBottom w:val="0"/>
                          <w:divBdr>
                            <w:top w:val="none" w:sz="0" w:space="0" w:color="auto"/>
                            <w:left w:val="none" w:sz="0" w:space="0" w:color="auto"/>
                            <w:bottom w:val="none" w:sz="0" w:space="0" w:color="auto"/>
                            <w:right w:val="none" w:sz="0" w:space="0" w:color="auto"/>
                          </w:divBdr>
                          <w:divsChild>
                            <w:div w:id="1427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468">
                      <w:marLeft w:val="0"/>
                      <w:marRight w:val="0"/>
                      <w:marTop w:val="0"/>
                      <w:marBottom w:val="0"/>
                      <w:divBdr>
                        <w:top w:val="none" w:sz="0" w:space="0" w:color="auto"/>
                        <w:left w:val="none" w:sz="0" w:space="0" w:color="auto"/>
                        <w:bottom w:val="none" w:sz="0" w:space="0" w:color="auto"/>
                        <w:right w:val="none" w:sz="0" w:space="0" w:color="auto"/>
                      </w:divBdr>
                      <w:divsChild>
                        <w:div w:id="2121489782">
                          <w:marLeft w:val="300"/>
                          <w:marRight w:val="300"/>
                          <w:marTop w:val="0"/>
                          <w:marBottom w:val="150"/>
                          <w:divBdr>
                            <w:top w:val="none" w:sz="0" w:space="0" w:color="auto"/>
                            <w:left w:val="none" w:sz="0" w:space="0" w:color="auto"/>
                            <w:bottom w:val="none" w:sz="0" w:space="0" w:color="auto"/>
                            <w:right w:val="none" w:sz="0" w:space="0" w:color="auto"/>
                          </w:divBdr>
                          <w:divsChild>
                            <w:div w:id="949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57739">
      <w:bodyDiv w:val="1"/>
      <w:marLeft w:val="0"/>
      <w:marRight w:val="0"/>
      <w:marTop w:val="0"/>
      <w:marBottom w:val="0"/>
      <w:divBdr>
        <w:top w:val="none" w:sz="0" w:space="0" w:color="auto"/>
        <w:left w:val="none" w:sz="0" w:space="0" w:color="auto"/>
        <w:bottom w:val="none" w:sz="0" w:space="0" w:color="auto"/>
        <w:right w:val="none" w:sz="0" w:space="0" w:color="auto"/>
      </w:divBdr>
    </w:div>
    <w:div w:id="979571849">
      <w:bodyDiv w:val="1"/>
      <w:marLeft w:val="0"/>
      <w:marRight w:val="0"/>
      <w:marTop w:val="0"/>
      <w:marBottom w:val="0"/>
      <w:divBdr>
        <w:top w:val="none" w:sz="0" w:space="0" w:color="auto"/>
        <w:left w:val="none" w:sz="0" w:space="0" w:color="auto"/>
        <w:bottom w:val="none" w:sz="0" w:space="0" w:color="auto"/>
        <w:right w:val="none" w:sz="0" w:space="0" w:color="auto"/>
      </w:divBdr>
      <w:divsChild>
        <w:div w:id="1888763313">
          <w:marLeft w:val="0"/>
          <w:marRight w:val="0"/>
          <w:marTop w:val="0"/>
          <w:marBottom w:val="0"/>
          <w:divBdr>
            <w:top w:val="none" w:sz="0" w:space="0" w:color="auto"/>
            <w:left w:val="none" w:sz="0" w:space="0" w:color="auto"/>
            <w:bottom w:val="none" w:sz="0" w:space="0" w:color="auto"/>
            <w:right w:val="none" w:sz="0" w:space="0" w:color="auto"/>
          </w:divBdr>
          <w:divsChild>
            <w:div w:id="941034256">
              <w:marLeft w:val="0"/>
              <w:marRight w:val="0"/>
              <w:marTop w:val="0"/>
              <w:marBottom w:val="0"/>
              <w:divBdr>
                <w:top w:val="none" w:sz="0" w:space="0" w:color="auto"/>
                <w:left w:val="none" w:sz="0" w:space="0" w:color="auto"/>
                <w:bottom w:val="none" w:sz="0" w:space="0" w:color="auto"/>
                <w:right w:val="none" w:sz="0" w:space="0" w:color="auto"/>
              </w:divBdr>
              <w:divsChild>
                <w:div w:id="116458287">
                  <w:marLeft w:val="0"/>
                  <w:marRight w:val="0"/>
                  <w:marTop w:val="0"/>
                  <w:marBottom w:val="0"/>
                  <w:divBdr>
                    <w:top w:val="none" w:sz="0" w:space="0" w:color="auto"/>
                    <w:left w:val="none" w:sz="0" w:space="0" w:color="auto"/>
                    <w:bottom w:val="none" w:sz="0" w:space="0" w:color="auto"/>
                    <w:right w:val="none" w:sz="0" w:space="0" w:color="auto"/>
                  </w:divBdr>
                  <w:divsChild>
                    <w:div w:id="154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3130">
      <w:bodyDiv w:val="1"/>
      <w:marLeft w:val="0"/>
      <w:marRight w:val="0"/>
      <w:marTop w:val="0"/>
      <w:marBottom w:val="0"/>
      <w:divBdr>
        <w:top w:val="none" w:sz="0" w:space="0" w:color="auto"/>
        <w:left w:val="none" w:sz="0" w:space="0" w:color="auto"/>
        <w:bottom w:val="none" w:sz="0" w:space="0" w:color="auto"/>
        <w:right w:val="none" w:sz="0" w:space="0" w:color="auto"/>
      </w:divBdr>
    </w:div>
    <w:div w:id="1063023663">
      <w:bodyDiv w:val="1"/>
      <w:marLeft w:val="0"/>
      <w:marRight w:val="0"/>
      <w:marTop w:val="0"/>
      <w:marBottom w:val="0"/>
      <w:divBdr>
        <w:top w:val="none" w:sz="0" w:space="0" w:color="auto"/>
        <w:left w:val="none" w:sz="0" w:space="0" w:color="auto"/>
        <w:bottom w:val="none" w:sz="0" w:space="0" w:color="auto"/>
        <w:right w:val="none" w:sz="0" w:space="0" w:color="auto"/>
      </w:divBdr>
    </w:div>
    <w:div w:id="117718485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539196531">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663760">
      <w:bodyDiv w:val="1"/>
      <w:marLeft w:val="0"/>
      <w:marRight w:val="0"/>
      <w:marTop w:val="0"/>
      <w:marBottom w:val="0"/>
      <w:divBdr>
        <w:top w:val="none" w:sz="0" w:space="0" w:color="auto"/>
        <w:left w:val="none" w:sz="0" w:space="0" w:color="auto"/>
        <w:bottom w:val="none" w:sz="0" w:space="0" w:color="auto"/>
        <w:right w:val="none" w:sz="0" w:space="0" w:color="auto"/>
      </w:divBdr>
    </w:div>
    <w:div w:id="1932621018">
      <w:bodyDiv w:val="1"/>
      <w:marLeft w:val="0"/>
      <w:marRight w:val="0"/>
      <w:marTop w:val="0"/>
      <w:marBottom w:val="0"/>
      <w:divBdr>
        <w:top w:val="none" w:sz="0" w:space="0" w:color="auto"/>
        <w:left w:val="none" w:sz="0" w:space="0" w:color="auto"/>
        <w:bottom w:val="none" w:sz="0" w:space="0" w:color="auto"/>
        <w:right w:val="none" w:sz="0" w:space="0" w:color="auto"/>
      </w:divBdr>
    </w:div>
    <w:div w:id="1960717095">
      <w:bodyDiv w:val="1"/>
      <w:marLeft w:val="0"/>
      <w:marRight w:val="0"/>
      <w:marTop w:val="0"/>
      <w:marBottom w:val="0"/>
      <w:divBdr>
        <w:top w:val="none" w:sz="0" w:space="0" w:color="auto"/>
        <w:left w:val="none" w:sz="0" w:space="0" w:color="auto"/>
        <w:bottom w:val="none" w:sz="0" w:space="0" w:color="auto"/>
        <w:right w:val="none" w:sz="0" w:space="0" w:color="auto"/>
      </w:divBdr>
    </w:div>
    <w:div w:id="2020737791">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vilsociety.co.uk/voices/after-kids-company--could-we-be-next--the-seven-deadly-sins-of-trustee-boards.html" TargetMode="External"/><Relationship Id="rId18" Type="http://schemas.openxmlformats.org/officeDocument/2006/relationships/hyperlink" Target="https://www.sayervincent.co.uk/wp-content/uploads/2021/08/SV-MS-ReadingCharityAccounts-January20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haritygovernancecode.org/en" TargetMode="External"/><Relationship Id="rId17" Type="http://schemas.openxmlformats.org/officeDocument/2006/relationships/hyperlink" Target="https://www.gov.uk/government/publications/charity-reporting-and-accounting-the-essentials-march-2015-cc15c/charity-reporting-and-accounting-the-essentials-march-2015" TargetMode="External"/><Relationship Id="rId2" Type="http://schemas.openxmlformats.org/officeDocument/2006/relationships/customXml" Target="../customXml/item2.xml"/><Relationship Id="rId16" Type="http://schemas.openxmlformats.org/officeDocument/2006/relationships/hyperlink" Target="https://www.gov.uk/government/publications/conflicts-of-interest-a-guide-for-charity-trustees-cc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essential-trustee-what-you-need-to-know-cc3/the-essential-trustee-what-you-need-to-know-what-you-need-to-do" TargetMode="External"/><Relationship Id="rId5" Type="http://schemas.openxmlformats.org/officeDocument/2006/relationships/styles" Target="styles.xml"/><Relationship Id="rId15" Type="http://schemas.openxmlformats.org/officeDocument/2006/relationships/hyperlink" Target="https://www.gov.uk/government/publications/charity-commission-annual-report-and-accounts-2021-to-2022/charity-commission-annual-report-and-accounts-2021-to-2022" TargetMode="External"/><Relationship Id="rId10" Type="http://schemas.openxmlformats.org/officeDocument/2006/relationships/hyperlink" Target="https://www.gov.uk/government/publications/charitable-purposes/charitable-purposes" TargetMode="External"/><Relationship Id="rId19" Type="http://schemas.openxmlformats.org/officeDocument/2006/relationships/hyperlink" Target="https://www.gov.uk/government/publications/charities-sorp-20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ew.com/technical/charity-community/articles/what-are-the-key-concerns-of-charity-boar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FD13F-B79B-493B-89E7-6B38C830993C}">
  <ds:schemaRefs>
    <ds:schemaRef ds:uri="http://schemas.microsoft.com/sharepoint/v3/contenttype/forms"/>
  </ds:schemaRefs>
</ds:datastoreItem>
</file>

<file path=customXml/itemProps2.xml><?xml version="1.0" encoding="utf-8"?>
<ds:datastoreItem xmlns:ds="http://schemas.openxmlformats.org/officeDocument/2006/customXml" ds:itemID="{3B3ABAA4-3B19-4492-A213-1FFC56FE1D0B}">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D45AE9CE-951A-45E6-9947-432DB2DFE738}"/>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Microsoft Office User</cp:lastModifiedBy>
  <cp:revision>5</cp:revision>
  <dcterms:created xsi:type="dcterms:W3CDTF">2023-11-06T18:32:00Z</dcterms:created>
  <dcterms:modified xsi:type="dcterms:W3CDTF">2023-11-23T08:29:00Z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