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ECF61" w14:textId="1555EBB3" w:rsidR="004F6CA9" w:rsidRPr="004F6CA9" w:rsidRDefault="004F6CA9" w:rsidP="00F119E9">
      <w:pPr>
        <w:rPr>
          <w:rFonts w:ascii="Georgia" w:eastAsiaTheme="minorEastAsia" w:hAnsi="Georgia"/>
          <w:b/>
          <w:bCs/>
          <w:sz w:val="24"/>
          <w:szCs w:val="24"/>
        </w:rPr>
      </w:pPr>
      <w:r w:rsidRPr="004F6CA9">
        <w:rPr>
          <w:rFonts w:ascii="Georgia" w:eastAsiaTheme="minorEastAsia" w:hAnsi="Georgia"/>
          <w:b/>
          <w:bCs/>
          <w:sz w:val="24"/>
          <w:szCs w:val="24"/>
        </w:rPr>
        <w:t>Ambition for Excellence Programme Evaluation</w:t>
      </w:r>
    </w:p>
    <w:p w14:paraId="2F28AC87" w14:textId="5738FA38" w:rsidR="00F119E9" w:rsidRDefault="004F6CA9" w:rsidP="00F119E9">
      <w:pPr>
        <w:rPr>
          <w:rFonts w:eastAsiaTheme="minorEastAsia"/>
          <w:b/>
          <w:bCs/>
          <w:sz w:val="24"/>
          <w:szCs w:val="24"/>
        </w:rPr>
      </w:pPr>
      <w:r>
        <w:rPr>
          <w:rFonts w:eastAsiaTheme="minorEastAsia"/>
          <w:b/>
          <w:bCs/>
          <w:sz w:val="24"/>
          <w:szCs w:val="24"/>
        </w:rPr>
        <w:t xml:space="preserve">Arts Council Response </w:t>
      </w:r>
    </w:p>
    <w:p w14:paraId="466F7502" w14:textId="43B61371" w:rsidR="00F119E9" w:rsidRDefault="00F119E9" w:rsidP="00F119E9">
      <w:pPr>
        <w:rPr>
          <w:rFonts w:eastAsiaTheme="minorEastAsia"/>
          <w:sz w:val="24"/>
          <w:szCs w:val="24"/>
        </w:rPr>
      </w:pPr>
      <w:r>
        <w:rPr>
          <w:rFonts w:eastAsiaTheme="minorEastAsia"/>
          <w:sz w:val="24"/>
          <w:szCs w:val="24"/>
        </w:rPr>
        <w:t xml:space="preserve">Ambition for Excellence was a funding programme initiated in 2015, at a mid-point in Arts Council England’s </w:t>
      </w:r>
      <w:r w:rsidR="007A4012">
        <w:rPr>
          <w:rFonts w:eastAsiaTheme="minorEastAsia"/>
          <w:sz w:val="24"/>
          <w:szCs w:val="24"/>
        </w:rPr>
        <w:t xml:space="preserve">strategy for </w:t>
      </w:r>
      <w:r>
        <w:rPr>
          <w:rFonts w:eastAsiaTheme="minorEastAsia"/>
          <w:sz w:val="24"/>
          <w:szCs w:val="24"/>
        </w:rPr>
        <w:t>2010-</w:t>
      </w:r>
      <w:r w:rsidR="007A4012">
        <w:rPr>
          <w:rFonts w:eastAsiaTheme="minorEastAsia"/>
          <w:sz w:val="24"/>
          <w:szCs w:val="24"/>
        </w:rPr>
        <w:t>20</w:t>
      </w:r>
      <w:r>
        <w:rPr>
          <w:rFonts w:eastAsiaTheme="minorEastAsia"/>
          <w:sz w:val="24"/>
          <w:szCs w:val="24"/>
        </w:rPr>
        <w:t>20</w:t>
      </w:r>
      <w:r w:rsidR="007A4012">
        <w:rPr>
          <w:rFonts w:eastAsiaTheme="minorEastAsia"/>
          <w:sz w:val="24"/>
          <w:szCs w:val="24"/>
        </w:rPr>
        <w:t>,</w:t>
      </w:r>
      <w:r>
        <w:rPr>
          <w:rFonts w:eastAsiaTheme="minorEastAsia"/>
          <w:sz w:val="24"/>
          <w:szCs w:val="24"/>
        </w:rPr>
        <w:t xml:space="preserve"> </w:t>
      </w:r>
      <w:r>
        <w:rPr>
          <w:rFonts w:eastAsiaTheme="minorEastAsia"/>
          <w:i/>
          <w:iCs/>
          <w:sz w:val="24"/>
          <w:szCs w:val="24"/>
        </w:rPr>
        <w:t>Great Arts and Culture for Everyone</w:t>
      </w:r>
      <w:r>
        <w:rPr>
          <w:rFonts w:eastAsiaTheme="minorEastAsia"/>
          <w:sz w:val="24"/>
          <w:szCs w:val="24"/>
        </w:rPr>
        <w:t xml:space="preserve">. </w:t>
      </w:r>
      <w:r w:rsidR="00450313">
        <w:rPr>
          <w:rFonts w:eastAsiaTheme="minorEastAsia"/>
          <w:sz w:val="24"/>
          <w:szCs w:val="24"/>
        </w:rPr>
        <w:t>Through the programme, we</w:t>
      </w:r>
      <w:r w:rsidR="00104ABD">
        <w:rPr>
          <w:rFonts w:eastAsiaTheme="minorEastAsia"/>
          <w:sz w:val="24"/>
          <w:szCs w:val="24"/>
        </w:rPr>
        <w:t xml:space="preserve"> invested a</w:t>
      </w:r>
      <w:r w:rsidR="00DB64BF">
        <w:rPr>
          <w:rFonts w:eastAsiaTheme="minorEastAsia"/>
          <w:sz w:val="24"/>
          <w:szCs w:val="24"/>
        </w:rPr>
        <w:t xml:space="preserve"> total of £32 million in 67 projects</w:t>
      </w:r>
      <w:r w:rsidR="00B30B3B">
        <w:rPr>
          <w:rFonts w:eastAsiaTheme="minorEastAsia"/>
          <w:sz w:val="24"/>
          <w:szCs w:val="24"/>
        </w:rPr>
        <w:t xml:space="preserve">, </w:t>
      </w:r>
      <w:r w:rsidR="007A4B77">
        <w:rPr>
          <w:rFonts w:eastAsiaTheme="minorEastAsia"/>
          <w:sz w:val="24"/>
          <w:szCs w:val="24"/>
        </w:rPr>
        <w:t xml:space="preserve">across England </w:t>
      </w:r>
      <w:r w:rsidR="00B30B3B">
        <w:rPr>
          <w:rFonts w:eastAsiaTheme="minorEastAsia"/>
          <w:sz w:val="24"/>
          <w:szCs w:val="24"/>
        </w:rPr>
        <w:t>with 56 of these taking place outside of London.</w:t>
      </w:r>
    </w:p>
    <w:p w14:paraId="3CE8AFE2" w14:textId="77777777" w:rsidR="00F119E9" w:rsidRDefault="00F119E9" w:rsidP="00F119E9">
      <w:pPr>
        <w:rPr>
          <w:rFonts w:eastAsiaTheme="minorEastAsia"/>
          <w:sz w:val="24"/>
          <w:szCs w:val="24"/>
        </w:rPr>
      </w:pPr>
      <w:r>
        <w:rPr>
          <w:rFonts w:eastAsiaTheme="minorEastAsia"/>
          <w:sz w:val="24"/>
          <w:szCs w:val="24"/>
        </w:rPr>
        <w:t xml:space="preserve">The programme had several strategic aims: </w:t>
      </w:r>
    </w:p>
    <w:p w14:paraId="45B048FE" w14:textId="77777777" w:rsidR="00F119E9" w:rsidRDefault="00F119E9" w:rsidP="00F119E9">
      <w:pPr>
        <w:pStyle w:val="ListParagraph"/>
        <w:numPr>
          <w:ilvl w:val="0"/>
          <w:numId w:val="15"/>
        </w:numPr>
        <w:rPr>
          <w:rFonts w:eastAsiaTheme="minorEastAsia"/>
          <w:sz w:val="24"/>
          <w:szCs w:val="24"/>
        </w:rPr>
      </w:pPr>
      <w:r>
        <w:rPr>
          <w:rFonts w:eastAsiaTheme="minorEastAsia"/>
          <w:sz w:val="24"/>
          <w:szCs w:val="24"/>
        </w:rPr>
        <w:t>to contribute to the development of place</w:t>
      </w:r>
    </w:p>
    <w:p w14:paraId="16ED1497" w14:textId="77777777" w:rsidR="00F119E9" w:rsidRDefault="00F119E9" w:rsidP="00F119E9">
      <w:pPr>
        <w:pStyle w:val="ListParagraph"/>
        <w:numPr>
          <w:ilvl w:val="0"/>
          <w:numId w:val="15"/>
        </w:numPr>
        <w:rPr>
          <w:rFonts w:eastAsiaTheme="minorEastAsia"/>
          <w:sz w:val="24"/>
          <w:szCs w:val="24"/>
        </w:rPr>
      </w:pPr>
      <w:r>
        <w:rPr>
          <w:rFonts w:eastAsiaTheme="minorEastAsia"/>
          <w:sz w:val="24"/>
          <w:szCs w:val="24"/>
        </w:rPr>
        <w:t xml:space="preserve">to grow and develop talent and leadership outside </w:t>
      </w:r>
      <w:proofErr w:type="gramStart"/>
      <w:r>
        <w:rPr>
          <w:rFonts w:eastAsiaTheme="minorEastAsia"/>
          <w:sz w:val="24"/>
          <w:szCs w:val="24"/>
        </w:rPr>
        <w:t>London</w:t>
      </w:r>
      <w:proofErr w:type="gramEnd"/>
    </w:p>
    <w:p w14:paraId="203B8FF1" w14:textId="77777777" w:rsidR="00F119E9" w:rsidRDefault="00F119E9" w:rsidP="00F119E9">
      <w:pPr>
        <w:pStyle w:val="ListParagraph"/>
        <w:numPr>
          <w:ilvl w:val="0"/>
          <w:numId w:val="15"/>
        </w:numPr>
        <w:rPr>
          <w:rFonts w:eastAsiaTheme="minorEastAsia"/>
          <w:sz w:val="24"/>
          <w:szCs w:val="24"/>
        </w:rPr>
      </w:pPr>
      <w:r>
        <w:rPr>
          <w:rFonts w:eastAsiaTheme="minorEastAsia"/>
          <w:sz w:val="24"/>
          <w:szCs w:val="24"/>
        </w:rPr>
        <w:t>to encourage more international collaborations</w:t>
      </w:r>
    </w:p>
    <w:p w14:paraId="280DD509" w14:textId="77777777" w:rsidR="00F119E9" w:rsidRDefault="00F119E9" w:rsidP="00F119E9">
      <w:pPr>
        <w:pStyle w:val="ListParagraph"/>
        <w:numPr>
          <w:ilvl w:val="0"/>
          <w:numId w:val="15"/>
        </w:numPr>
        <w:rPr>
          <w:rFonts w:eastAsiaTheme="minorEastAsia"/>
          <w:sz w:val="24"/>
          <w:szCs w:val="24"/>
        </w:rPr>
      </w:pPr>
      <w:r>
        <w:rPr>
          <w:rFonts w:eastAsiaTheme="minorEastAsia"/>
          <w:sz w:val="24"/>
          <w:szCs w:val="24"/>
        </w:rPr>
        <w:t>to create high quality new work for outdoor and festival contexts</w:t>
      </w:r>
    </w:p>
    <w:p w14:paraId="35B294DC" w14:textId="77777777" w:rsidR="00F119E9" w:rsidRDefault="00F119E9" w:rsidP="00F119E9">
      <w:pPr>
        <w:pStyle w:val="ListParagraph"/>
        <w:numPr>
          <w:ilvl w:val="0"/>
          <w:numId w:val="15"/>
        </w:numPr>
        <w:rPr>
          <w:rFonts w:eastAsiaTheme="minorEastAsia"/>
          <w:sz w:val="24"/>
          <w:szCs w:val="24"/>
        </w:rPr>
      </w:pPr>
      <w:r>
        <w:rPr>
          <w:rFonts w:eastAsiaTheme="minorEastAsia"/>
          <w:sz w:val="24"/>
          <w:szCs w:val="24"/>
        </w:rPr>
        <w:t xml:space="preserve">to create work at scale exemplifying the creative case for diversity </w:t>
      </w:r>
    </w:p>
    <w:p w14:paraId="4D4BB757" w14:textId="74AA401C" w:rsidR="0035610B" w:rsidRDefault="00F119E9" w:rsidP="00CF2A7D">
      <w:pPr>
        <w:rPr>
          <w:rFonts w:eastAsiaTheme="minorEastAsia"/>
          <w:sz w:val="24"/>
          <w:szCs w:val="24"/>
        </w:rPr>
      </w:pPr>
      <w:r>
        <w:rPr>
          <w:rFonts w:eastAsiaTheme="minorEastAsia"/>
          <w:sz w:val="24"/>
          <w:szCs w:val="24"/>
        </w:rPr>
        <w:t>The fund opened for applications in May 2015 and final awards were made in February 2018</w:t>
      </w:r>
      <w:r w:rsidR="00D13E6B">
        <w:rPr>
          <w:rFonts w:eastAsiaTheme="minorEastAsia"/>
          <w:sz w:val="24"/>
          <w:szCs w:val="24"/>
        </w:rPr>
        <w:t xml:space="preserve">, with </w:t>
      </w:r>
      <w:r>
        <w:rPr>
          <w:rFonts w:eastAsiaTheme="minorEastAsia"/>
          <w:sz w:val="24"/>
          <w:szCs w:val="24"/>
        </w:rPr>
        <w:t xml:space="preserve">projects </w:t>
      </w:r>
      <w:r w:rsidR="00D13E6B">
        <w:rPr>
          <w:rFonts w:eastAsiaTheme="minorEastAsia"/>
          <w:sz w:val="24"/>
          <w:szCs w:val="24"/>
        </w:rPr>
        <w:t xml:space="preserve">taking </w:t>
      </w:r>
      <w:r>
        <w:rPr>
          <w:rFonts w:eastAsiaTheme="minorEastAsia"/>
          <w:sz w:val="24"/>
          <w:szCs w:val="24"/>
        </w:rPr>
        <w:t xml:space="preserve">place between April 2016 and March 2022. </w:t>
      </w:r>
      <w:r w:rsidR="00D13E6B">
        <w:rPr>
          <w:rFonts w:eastAsiaTheme="minorEastAsia"/>
          <w:sz w:val="24"/>
          <w:szCs w:val="24"/>
        </w:rPr>
        <w:t>Notably, t</w:t>
      </w:r>
      <w:r>
        <w:rPr>
          <w:rFonts w:eastAsiaTheme="minorEastAsia"/>
          <w:sz w:val="24"/>
          <w:szCs w:val="24"/>
        </w:rPr>
        <w:t>he period included the arrival of the Co</w:t>
      </w:r>
      <w:r w:rsidR="001F43ED">
        <w:rPr>
          <w:rFonts w:eastAsiaTheme="minorEastAsia"/>
          <w:sz w:val="24"/>
          <w:szCs w:val="24"/>
        </w:rPr>
        <w:t>vid-19</w:t>
      </w:r>
      <w:r>
        <w:rPr>
          <w:rFonts w:eastAsiaTheme="minorEastAsia"/>
          <w:sz w:val="24"/>
          <w:szCs w:val="24"/>
        </w:rPr>
        <w:t xml:space="preserve"> pandemic in 2020, delay</w:t>
      </w:r>
      <w:r w:rsidR="003E5F3B">
        <w:rPr>
          <w:rFonts w:eastAsiaTheme="minorEastAsia"/>
          <w:sz w:val="24"/>
          <w:szCs w:val="24"/>
        </w:rPr>
        <w:t>ing</w:t>
      </w:r>
      <w:r>
        <w:rPr>
          <w:rFonts w:eastAsiaTheme="minorEastAsia"/>
          <w:sz w:val="24"/>
          <w:szCs w:val="24"/>
        </w:rPr>
        <w:t xml:space="preserve"> </w:t>
      </w:r>
      <w:r w:rsidR="003E5F3B">
        <w:rPr>
          <w:rFonts w:eastAsiaTheme="minorEastAsia"/>
          <w:sz w:val="24"/>
          <w:szCs w:val="24"/>
        </w:rPr>
        <w:t xml:space="preserve">the </w:t>
      </w:r>
      <w:r>
        <w:rPr>
          <w:rFonts w:eastAsiaTheme="minorEastAsia"/>
          <w:sz w:val="24"/>
          <w:szCs w:val="24"/>
        </w:rPr>
        <w:t xml:space="preserve">completion of 11 projects. </w:t>
      </w:r>
      <w:r w:rsidR="007A4B77">
        <w:rPr>
          <w:rFonts w:eastAsiaTheme="minorEastAsia"/>
          <w:sz w:val="24"/>
          <w:szCs w:val="24"/>
        </w:rPr>
        <w:t>J</w:t>
      </w:r>
      <w:r w:rsidR="00CF2A7D">
        <w:rPr>
          <w:rFonts w:eastAsiaTheme="minorEastAsia"/>
          <w:sz w:val="24"/>
          <w:szCs w:val="24"/>
        </w:rPr>
        <w:t xml:space="preserve">ust over half of the projects (34) were delivered by combined arts organisations; 43 were led by organisations in the Arts Council’s </w:t>
      </w:r>
      <w:r w:rsidR="00703127">
        <w:rPr>
          <w:rFonts w:eastAsiaTheme="minorEastAsia"/>
          <w:sz w:val="24"/>
          <w:szCs w:val="24"/>
        </w:rPr>
        <w:t>N</w:t>
      </w:r>
      <w:r w:rsidR="00CF2A7D">
        <w:rPr>
          <w:rFonts w:eastAsiaTheme="minorEastAsia"/>
          <w:sz w:val="24"/>
          <w:szCs w:val="24"/>
        </w:rPr>
        <w:t xml:space="preserve">ational </w:t>
      </w:r>
      <w:r w:rsidR="00703127">
        <w:rPr>
          <w:rFonts w:eastAsiaTheme="minorEastAsia"/>
          <w:sz w:val="24"/>
          <w:szCs w:val="24"/>
        </w:rPr>
        <w:t>P</w:t>
      </w:r>
      <w:r w:rsidR="00CF2A7D">
        <w:rPr>
          <w:rFonts w:eastAsiaTheme="minorEastAsia"/>
          <w:sz w:val="24"/>
          <w:szCs w:val="24"/>
        </w:rPr>
        <w:t xml:space="preserve">ortfolio and the majority of grants (36) were for over £500,000. </w:t>
      </w:r>
    </w:p>
    <w:p w14:paraId="12343373" w14:textId="5F25B6C3" w:rsidR="00FA3CE2" w:rsidRDefault="0035610B" w:rsidP="00CF2A7D">
      <w:pPr>
        <w:rPr>
          <w:rFonts w:eastAsiaTheme="minorEastAsia"/>
          <w:sz w:val="24"/>
          <w:szCs w:val="24"/>
        </w:rPr>
      </w:pPr>
      <w:r>
        <w:rPr>
          <w:rFonts w:eastAsiaTheme="minorEastAsia"/>
          <w:sz w:val="24"/>
          <w:szCs w:val="24"/>
        </w:rPr>
        <w:t>Some projects were affected by the impact of the pandemic, interrupting</w:t>
      </w:r>
      <w:r w:rsidR="00B57A89">
        <w:rPr>
          <w:rFonts w:eastAsiaTheme="minorEastAsia"/>
          <w:sz w:val="24"/>
          <w:szCs w:val="24"/>
        </w:rPr>
        <w:t xml:space="preserve">, </w:t>
      </w:r>
      <w:proofErr w:type="gramStart"/>
      <w:r w:rsidR="00B57A89">
        <w:rPr>
          <w:rFonts w:eastAsiaTheme="minorEastAsia"/>
          <w:sz w:val="24"/>
          <w:szCs w:val="24"/>
        </w:rPr>
        <w:t>postponing</w:t>
      </w:r>
      <w:proofErr w:type="gramEnd"/>
      <w:r w:rsidR="00B57A89">
        <w:rPr>
          <w:rFonts w:eastAsiaTheme="minorEastAsia"/>
          <w:sz w:val="24"/>
          <w:szCs w:val="24"/>
        </w:rPr>
        <w:t xml:space="preserve"> and delaying delivery</w:t>
      </w:r>
      <w:r w:rsidR="00757DA7">
        <w:rPr>
          <w:rFonts w:eastAsiaTheme="minorEastAsia"/>
          <w:sz w:val="24"/>
          <w:szCs w:val="24"/>
        </w:rPr>
        <w:t xml:space="preserve">, and in </w:t>
      </w:r>
      <w:r>
        <w:rPr>
          <w:rFonts w:eastAsiaTheme="minorEastAsia"/>
          <w:sz w:val="24"/>
          <w:szCs w:val="24"/>
        </w:rPr>
        <w:t>some cases</w:t>
      </w:r>
      <w:r w:rsidR="00B57A89">
        <w:rPr>
          <w:rFonts w:eastAsiaTheme="minorEastAsia"/>
          <w:sz w:val="24"/>
          <w:szCs w:val="24"/>
        </w:rPr>
        <w:t xml:space="preserve"> </w:t>
      </w:r>
      <w:r w:rsidR="00757DA7">
        <w:rPr>
          <w:rFonts w:eastAsiaTheme="minorEastAsia"/>
          <w:sz w:val="24"/>
          <w:szCs w:val="24"/>
        </w:rPr>
        <w:t>changing the</w:t>
      </w:r>
      <w:r>
        <w:rPr>
          <w:rFonts w:eastAsiaTheme="minorEastAsia"/>
          <w:sz w:val="24"/>
          <w:szCs w:val="24"/>
        </w:rPr>
        <w:t xml:space="preserve"> shape and scale</w:t>
      </w:r>
      <w:r w:rsidR="00757DA7">
        <w:rPr>
          <w:rFonts w:eastAsiaTheme="minorEastAsia"/>
          <w:sz w:val="24"/>
          <w:szCs w:val="24"/>
        </w:rPr>
        <w:t xml:space="preserve"> of the project</w:t>
      </w:r>
      <w:r>
        <w:rPr>
          <w:rFonts w:eastAsiaTheme="minorEastAsia"/>
          <w:sz w:val="24"/>
          <w:szCs w:val="24"/>
        </w:rPr>
        <w:t xml:space="preserve">. Despite this, there were some unexpected positives </w:t>
      </w:r>
      <w:r w:rsidR="00757DA7">
        <w:rPr>
          <w:rFonts w:eastAsiaTheme="minorEastAsia"/>
          <w:sz w:val="24"/>
          <w:szCs w:val="24"/>
        </w:rPr>
        <w:t xml:space="preserve">for projects </w:t>
      </w:r>
      <w:r>
        <w:rPr>
          <w:rFonts w:eastAsiaTheme="minorEastAsia"/>
          <w:sz w:val="24"/>
          <w:szCs w:val="24"/>
        </w:rPr>
        <w:t>as a shift to online delivery fostered wider accessibility and international online connections.</w:t>
      </w:r>
      <w:r w:rsidR="006E44D7">
        <w:rPr>
          <w:rFonts w:eastAsiaTheme="minorEastAsia"/>
          <w:sz w:val="24"/>
          <w:szCs w:val="24"/>
        </w:rPr>
        <w:t xml:space="preserve"> </w:t>
      </w:r>
    </w:p>
    <w:p w14:paraId="73D9729E" w14:textId="3A8C3324" w:rsidR="009E5873" w:rsidRDefault="00C949C1" w:rsidP="00C949C1">
      <w:pPr>
        <w:rPr>
          <w:rFonts w:eastAsiaTheme="minorEastAsia"/>
          <w:sz w:val="24"/>
          <w:szCs w:val="24"/>
        </w:rPr>
      </w:pPr>
      <w:r>
        <w:rPr>
          <w:rFonts w:eastAsiaTheme="minorEastAsia"/>
          <w:sz w:val="24"/>
          <w:szCs w:val="24"/>
        </w:rPr>
        <w:t xml:space="preserve">In2Impact were commissioned by the Arts Council to independently review the </w:t>
      </w:r>
      <w:r w:rsidR="00B5345D">
        <w:rPr>
          <w:rFonts w:eastAsiaTheme="minorEastAsia"/>
          <w:sz w:val="24"/>
          <w:szCs w:val="24"/>
        </w:rPr>
        <w:t xml:space="preserve">impact </w:t>
      </w:r>
      <w:r w:rsidR="007764D3">
        <w:rPr>
          <w:rFonts w:eastAsiaTheme="minorEastAsia"/>
          <w:sz w:val="24"/>
          <w:szCs w:val="24"/>
        </w:rPr>
        <w:t xml:space="preserve">of the </w:t>
      </w:r>
      <w:r>
        <w:rPr>
          <w:rFonts w:eastAsiaTheme="minorEastAsia"/>
          <w:sz w:val="24"/>
          <w:szCs w:val="24"/>
        </w:rPr>
        <w:t>fund</w:t>
      </w:r>
      <w:r w:rsidR="007764D3">
        <w:rPr>
          <w:rFonts w:eastAsiaTheme="minorEastAsia"/>
          <w:sz w:val="24"/>
          <w:szCs w:val="24"/>
        </w:rPr>
        <w:t xml:space="preserve"> against its overarching aims </w:t>
      </w:r>
      <w:r w:rsidR="00EE25F0">
        <w:rPr>
          <w:rFonts w:eastAsiaTheme="minorEastAsia"/>
          <w:sz w:val="24"/>
          <w:szCs w:val="24"/>
        </w:rPr>
        <w:t xml:space="preserve">and </w:t>
      </w:r>
      <w:r w:rsidR="007764D3">
        <w:rPr>
          <w:rFonts w:eastAsiaTheme="minorEastAsia"/>
          <w:sz w:val="24"/>
          <w:szCs w:val="24"/>
        </w:rPr>
        <w:t xml:space="preserve">identify </w:t>
      </w:r>
      <w:r>
        <w:rPr>
          <w:rFonts w:eastAsiaTheme="minorEastAsia"/>
          <w:sz w:val="24"/>
          <w:szCs w:val="24"/>
        </w:rPr>
        <w:t>any learning</w:t>
      </w:r>
      <w:r w:rsidR="00EE25F0">
        <w:rPr>
          <w:rFonts w:eastAsiaTheme="minorEastAsia"/>
          <w:sz w:val="24"/>
          <w:szCs w:val="24"/>
        </w:rPr>
        <w:t>s</w:t>
      </w:r>
      <w:r w:rsidR="008F7FDF">
        <w:rPr>
          <w:rFonts w:eastAsiaTheme="minorEastAsia"/>
          <w:sz w:val="24"/>
          <w:szCs w:val="24"/>
        </w:rPr>
        <w:t xml:space="preserve"> to support future funding approaches and priorities</w:t>
      </w:r>
      <w:r>
        <w:rPr>
          <w:rFonts w:eastAsiaTheme="minorEastAsia"/>
          <w:sz w:val="24"/>
          <w:szCs w:val="24"/>
        </w:rPr>
        <w:t xml:space="preserve">. </w:t>
      </w:r>
    </w:p>
    <w:p w14:paraId="31465568" w14:textId="36E95C57" w:rsidR="00443DC9" w:rsidRDefault="00C949C1" w:rsidP="00443DC9">
      <w:pPr>
        <w:rPr>
          <w:rFonts w:eastAsiaTheme="minorEastAsia"/>
          <w:sz w:val="24"/>
          <w:szCs w:val="24"/>
        </w:rPr>
      </w:pPr>
      <w:r>
        <w:rPr>
          <w:rFonts w:eastAsiaTheme="minorEastAsia"/>
          <w:sz w:val="24"/>
          <w:szCs w:val="24"/>
        </w:rPr>
        <w:t xml:space="preserve">The Arts Council welcomes In2Impact’s insightful evaluation report. It highlights clear success in enabling significant shifts in ambition, partnership development and creative opportunity for the majority of </w:t>
      </w:r>
      <w:r w:rsidR="000E2EA2">
        <w:rPr>
          <w:rFonts w:eastAsiaTheme="minorEastAsia"/>
          <w:sz w:val="24"/>
          <w:szCs w:val="24"/>
        </w:rPr>
        <w:t>the projects</w:t>
      </w:r>
      <w:r>
        <w:rPr>
          <w:rFonts w:eastAsiaTheme="minorEastAsia"/>
          <w:sz w:val="24"/>
          <w:szCs w:val="24"/>
        </w:rPr>
        <w:t xml:space="preserve">. </w:t>
      </w:r>
      <w:r w:rsidR="000E2EA2">
        <w:rPr>
          <w:rFonts w:eastAsiaTheme="minorEastAsia"/>
          <w:sz w:val="24"/>
          <w:szCs w:val="24"/>
        </w:rPr>
        <w:t>In particular, t</w:t>
      </w:r>
      <w:r>
        <w:rPr>
          <w:rFonts w:eastAsiaTheme="minorEastAsia"/>
          <w:sz w:val="24"/>
          <w:szCs w:val="24"/>
        </w:rPr>
        <w:t xml:space="preserve">he </w:t>
      </w:r>
      <w:r w:rsidR="00CF2A7D">
        <w:rPr>
          <w:rFonts w:eastAsiaTheme="minorEastAsia"/>
          <w:sz w:val="24"/>
          <w:szCs w:val="24"/>
        </w:rPr>
        <w:t xml:space="preserve">evaluation </w:t>
      </w:r>
      <w:r w:rsidR="006B552E">
        <w:rPr>
          <w:rFonts w:eastAsiaTheme="minorEastAsia"/>
          <w:sz w:val="24"/>
          <w:szCs w:val="24"/>
        </w:rPr>
        <w:t xml:space="preserve">indicated the fund supported </w:t>
      </w:r>
      <w:r w:rsidR="00F119E9">
        <w:rPr>
          <w:rFonts w:eastAsiaTheme="minorEastAsia"/>
          <w:sz w:val="24"/>
          <w:szCs w:val="24"/>
        </w:rPr>
        <w:t xml:space="preserve">1,100 new commissions, which together created over 23,000 days of employment for artists.    </w:t>
      </w:r>
    </w:p>
    <w:p w14:paraId="0766BCE0" w14:textId="56D82520" w:rsidR="004B0581" w:rsidRDefault="00D04BD7" w:rsidP="00F119E9">
      <w:pPr>
        <w:rPr>
          <w:rFonts w:eastAsiaTheme="minorEastAsia"/>
          <w:sz w:val="24"/>
          <w:szCs w:val="24"/>
        </w:rPr>
      </w:pPr>
      <w:r>
        <w:rPr>
          <w:rFonts w:eastAsiaTheme="minorEastAsia"/>
          <w:sz w:val="24"/>
          <w:szCs w:val="24"/>
        </w:rPr>
        <w:t>Reflecting back on the fund</w:t>
      </w:r>
      <w:r w:rsidR="00F119E9">
        <w:rPr>
          <w:rFonts w:eastAsiaTheme="minorEastAsia"/>
          <w:sz w:val="24"/>
          <w:szCs w:val="24"/>
        </w:rPr>
        <w:t xml:space="preserve">, it’s possible to see a clear line from the </w:t>
      </w:r>
      <w:r w:rsidR="002E2064">
        <w:rPr>
          <w:rFonts w:eastAsiaTheme="minorEastAsia"/>
          <w:sz w:val="24"/>
          <w:szCs w:val="24"/>
        </w:rPr>
        <w:t xml:space="preserve">aims and </w:t>
      </w:r>
      <w:r w:rsidR="00F119E9">
        <w:rPr>
          <w:rFonts w:eastAsiaTheme="minorEastAsia"/>
          <w:sz w:val="24"/>
          <w:szCs w:val="24"/>
        </w:rPr>
        <w:t xml:space="preserve">delivery of Ambition for Excellence to both the development of </w:t>
      </w:r>
      <w:hyperlink r:id="rId8" w:history="1">
        <w:r w:rsidR="00F119E9" w:rsidRPr="00FF4101">
          <w:rPr>
            <w:rStyle w:val="Hyperlink"/>
            <w:rFonts w:eastAsiaTheme="minorEastAsia"/>
            <w:sz w:val="24"/>
            <w:szCs w:val="24"/>
          </w:rPr>
          <w:t>Let’s Create</w:t>
        </w:r>
      </w:hyperlink>
      <w:r w:rsidR="00F119E9">
        <w:rPr>
          <w:rFonts w:eastAsiaTheme="minorEastAsia"/>
          <w:sz w:val="24"/>
          <w:szCs w:val="24"/>
        </w:rPr>
        <w:t>, the Arts Council’s strategy for 2020-</w:t>
      </w:r>
      <w:r w:rsidR="004B0581">
        <w:rPr>
          <w:rFonts w:eastAsiaTheme="minorEastAsia"/>
          <w:sz w:val="24"/>
          <w:szCs w:val="24"/>
        </w:rPr>
        <w:t>20</w:t>
      </w:r>
      <w:r w:rsidR="00F119E9">
        <w:rPr>
          <w:rFonts w:eastAsiaTheme="minorEastAsia"/>
          <w:sz w:val="24"/>
          <w:szCs w:val="24"/>
        </w:rPr>
        <w:t xml:space="preserve">30, and the Arts Council’s </w:t>
      </w:r>
      <w:r w:rsidR="00103AB5">
        <w:rPr>
          <w:rFonts w:eastAsiaTheme="minorEastAsia"/>
          <w:sz w:val="24"/>
          <w:szCs w:val="24"/>
        </w:rPr>
        <w:t xml:space="preserve">new </w:t>
      </w:r>
      <w:hyperlink r:id="rId9" w:history="1">
        <w:r w:rsidR="004B0581">
          <w:rPr>
            <w:rStyle w:val="Hyperlink"/>
            <w:rFonts w:eastAsiaTheme="minorEastAsia"/>
            <w:sz w:val="24"/>
            <w:szCs w:val="24"/>
          </w:rPr>
          <w:t>2023-26 Investment Programme</w:t>
        </w:r>
      </w:hyperlink>
      <w:r w:rsidR="00F119E9">
        <w:rPr>
          <w:rFonts w:eastAsiaTheme="minorEastAsia"/>
          <w:sz w:val="24"/>
          <w:szCs w:val="24"/>
        </w:rPr>
        <w:t xml:space="preserve">. </w:t>
      </w:r>
    </w:p>
    <w:p w14:paraId="447EE73F" w14:textId="0BC7B490" w:rsidR="00F119E9" w:rsidRDefault="00F119E9" w:rsidP="00F119E9">
      <w:pPr>
        <w:rPr>
          <w:rFonts w:eastAsiaTheme="minorEastAsia"/>
          <w:sz w:val="24"/>
          <w:szCs w:val="24"/>
        </w:rPr>
      </w:pPr>
      <w:r>
        <w:rPr>
          <w:rFonts w:eastAsiaTheme="minorEastAsia"/>
          <w:sz w:val="24"/>
          <w:szCs w:val="24"/>
        </w:rPr>
        <w:t>There are two clear examples of this:</w:t>
      </w:r>
    </w:p>
    <w:p w14:paraId="388293DE" w14:textId="6530D6D2" w:rsidR="00D108B8" w:rsidRPr="00D47731" w:rsidRDefault="00F119E9" w:rsidP="00D47731">
      <w:pPr>
        <w:pStyle w:val="ListParagraph"/>
        <w:numPr>
          <w:ilvl w:val="0"/>
          <w:numId w:val="20"/>
        </w:numPr>
        <w:rPr>
          <w:rFonts w:eastAsiaTheme="minorEastAsia"/>
          <w:sz w:val="24"/>
          <w:szCs w:val="24"/>
        </w:rPr>
      </w:pPr>
      <w:r w:rsidRPr="00D47731">
        <w:rPr>
          <w:rFonts w:eastAsiaTheme="minorEastAsia"/>
          <w:b/>
          <w:bCs/>
          <w:sz w:val="24"/>
          <w:szCs w:val="24"/>
        </w:rPr>
        <w:t>Ambition for Excellence had a noticeable impact on the development of diverse talent</w:t>
      </w:r>
      <w:r w:rsidR="00F244EA" w:rsidRPr="00D47731">
        <w:rPr>
          <w:rFonts w:eastAsiaTheme="minorEastAsia"/>
          <w:b/>
          <w:bCs/>
          <w:sz w:val="24"/>
          <w:szCs w:val="24"/>
        </w:rPr>
        <w:t xml:space="preserve"> – supporting </w:t>
      </w:r>
      <w:r w:rsidR="00B40DA3" w:rsidRPr="00D47731">
        <w:rPr>
          <w:rFonts w:eastAsiaTheme="minorEastAsia"/>
          <w:b/>
          <w:bCs/>
          <w:sz w:val="24"/>
          <w:szCs w:val="24"/>
        </w:rPr>
        <w:t>progress towards a more diverse and representative funded sector</w:t>
      </w:r>
      <w:r w:rsidRPr="00D47731">
        <w:rPr>
          <w:rFonts w:eastAsiaTheme="minorEastAsia"/>
          <w:sz w:val="24"/>
          <w:szCs w:val="24"/>
        </w:rPr>
        <w:t xml:space="preserve">. </w:t>
      </w:r>
    </w:p>
    <w:p w14:paraId="537A3FFD" w14:textId="437CD15E" w:rsidR="00F119E9" w:rsidRPr="003C6E58" w:rsidRDefault="00F119E9" w:rsidP="003C6E58">
      <w:pPr>
        <w:ind w:left="720"/>
        <w:rPr>
          <w:rFonts w:eastAsiaTheme="minorEastAsia"/>
          <w:sz w:val="24"/>
          <w:szCs w:val="24"/>
        </w:rPr>
      </w:pPr>
      <w:r w:rsidRPr="003C6E58">
        <w:rPr>
          <w:rFonts w:eastAsiaTheme="minorEastAsia"/>
          <w:sz w:val="24"/>
          <w:szCs w:val="24"/>
        </w:rPr>
        <w:lastRenderedPageBreak/>
        <w:t xml:space="preserve">Supported projects broke new ground in the ambition and scale of disability-led work, with examples including </w:t>
      </w:r>
      <w:r w:rsidRPr="003C6E58">
        <w:rPr>
          <w:rFonts w:eastAsiaTheme="minorEastAsia"/>
          <w:b/>
          <w:bCs/>
          <w:sz w:val="24"/>
          <w:szCs w:val="24"/>
        </w:rPr>
        <w:t xml:space="preserve">Shape London’s </w:t>
      </w:r>
      <w:r w:rsidRPr="003C6E58">
        <w:rPr>
          <w:rFonts w:eastAsiaTheme="minorEastAsia"/>
          <w:b/>
          <w:bCs/>
          <w:i/>
          <w:iCs/>
          <w:sz w:val="24"/>
          <w:szCs w:val="24"/>
        </w:rPr>
        <w:t>Unlimited International</w:t>
      </w:r>
      <w:r w:rsidRPr="003C6E58">
        <w:rPr>
          <w:rFonts w:eastAsiaTheme="minorEastAsia"/>
          <w:sz w:val="24"/>
          <w:szCs w:val="24"/>
        </w:rPr>
        <w:t xml:space="preserve">, </w:t>
      </w:r>
      <w:r w:rsidRPr="003C6E58">
        <w:rPr>
          <w:rFonts w:eastAsiaTheme="minorEastAsia"/>
          <w:b/>
          <w:bCs/>
          <w:sz w:val="24"/>
          <w:szCs w:val="24"/>
        </w:rPr>
        <w:t xml:space="preserve">Cirque Bijou’s </w:t>
      </w:r>
      <w:r w:rsidRPr="003C6E58">
        <w:rPr>
          <w:rFonts w:eastAsiaTheme="minorEastAsia"/>
          <w:b/>
          <w:bCs/>
          <w:i/>
          <w:iCs/>
          <w:sz w:val="24"/>
          <w:szCs w:val="24"/>
        </w:rPr>
        <w:t>Extraordinary Bodies</w:t>
      </w:r>
      <w:r w:rsidRPr="003C6E58">
        <w:rPr>
          <w:rFonts w:eastAsiaTheme="minorEastAsia"/>
          <w:sz w:val="24"/>
          <w:szCs w:val="24"/>
        </w:rPr>
        <w:t xml:space="preserve">, </w:t>
      </w:r>
      <w:r w:rsidRPr="003C6E58">
        <w:rPr>
          <w:rFonts w:eastAsiaTheme="minorEastAsia"/>
          <w:b/>
          <w:bCs/>
          <w:sz w:val="24"/>
          <w:szCs w:val="24"/>
        </w:rPr>
        <w:t xml:space="preserve">Mind the Gap’s </w:t>
      </w:r>
      <w:r w:rsidRPr="003C6E58">
        <w:rPr>
          <w:rFonts w:eastAsiaTheme="minorEastAsia"/>
          <w:b/>
          <w:bCs/>
          <w:i/>
          <w:iCs/>
          <w:sz w:val="24"/>
          <w:szCs w:val="24"/>
        </w:rPr>
        <w:t>Zara</w:t>
      </w:r>
      <w:r w:rsidRPr="003C6E58">
        <w:rPr>
          <w:rFonts w:eastAsiaTheme="minorEastAsia"/>
          <w:sz w:val="24"/>
          <w:szCs w:val="24"/>
        </w:rPr>
        <w:t xml:space="preserve">, and </w:t>
      </w:r>
      <w:r w:rsidRPr="003C6E58">
        <w:rPr>
          <w:rFonts w:eastAsiaTheme="minorEastAsia"/>
          <w:b/>
          <w:bCs/>
          <w:sz w:val="24"/>
          <w:szCs w:val="24"/>
        </w:rPr>
        <w:t xml:space="preserve">Tin Art’s </w:t>
      </w:r>
      <w:r w:rsidRPr="003C6E58">
        <w:rPr>
          <w:rFonts w:eastAsiaTheme="minorEastAsia"/>
          <w:b/>
          <w:bCs/>
          <w:i/>
          <w:iCs/>
          <w:sz w:val="24"/>
          <w:szCs w:val="24"/>
        </w:rPr>
        <w:t>The Talent Hub</w:t>
      </w:r>
      <w:r w:rsidR="0052261E">
        <w:rPr>
          <w:rFonts w:eastAsiaTheme="minorEastAsia"/>
          <w:i/>
          <w:iCs/>
          <w:sz w:val="24"/>
          <w:szCs w:val="24"/>
        </w:rPr>
        <w:t xml:space="preserve">. </w:t>
      </w:r>
      <w:r w:rsidRPr="003C6E58">
        <w:rPr>
          <w:rFonts w:eastAsiaTheme="minorEastAsia"/>
          <w:i/>
          <w:iCs/>
          <w:sz w:val="24"/>
          <w:szCs w:val="24"/>
        </w:rPr>
        <w:t xml:space="preserve"> </w:t>
      </w:r>
      <w:r w:rsidR="0052261E">
        <w:rPr>
          <w:rFonts w:eastAsiaTheme="minorEastAsia"/>
          <w:sz w:val="24"/>
          <w:szCs w:val="24"/>
        </w:rPr>
        <w:t>S</w:t>
      </w:r>
      <w:r w:rsidRPr="003C6E58">
        <w:rPr>
          <w:rFonts w:eastAsiaTheme="minorEastAsia"/>
          <w:sz w:val="24"/>
          <w:szCs w:val="24"/>
        </w:rPr>
        <w:t xml:space="preserve">everal projects created a step change in visibility and opportunity for Black, </w:t>
      </w:r>
      <w:proofErr w:type="gramStart"/>
      <w:r w:rsidRPr="003C6E58">
        <w:rPr>
          <w:rFonts w:eastAsiaTheme="minorEastAsia"/>
          <w:sz w:val="24"/>
          <w:szCs w:val="24"/>
        </w:rPr>
        <w:t>Asian</w:t>
      </w:r>
      <w:proofErr w:type="gramEnd"/>
      <w:r w:rsidRPr="003C6E58">
        <w:rPr>
          <w:rFonts w:eastAsiaTheme="minorEastAsia"/>
          <w:sz w:val="24"/>
          <w:szCs w:val="24"/>
        </w:rPr>
        <w:t xml:space="preserve"> and ethnically diverse artists, including </w:t>
      </w:r>
      <w:r w:rsidRPr="003C6E58">
        <w:rPr>
          <w:rFonts w:eastAsiaTheme="minorEastAsia"/>
          <w:b/>
          <w:bCs/>
          <w:sz w:val="24"/>
          <w:szCs w:val="24"/>
        </w:rPr>
        <w:t xml:space="preserve">Junction CDC’s </w:t>
      </w:r>
      <w:r w:rsidRPr="003C6E58">
        <w:rPr>
          <w:rFonts w:eastAsiaTheme="minorEastAsia"/>
          <w:b/>
          <w:bCs/>
          <w:i/>
          <w:iCs/>
          <w:sz w:val="24"/>
          <w:szCs w:val="24"/>
        </w:rPr>
        <w:t>Diverse Actions</w:t>
      </w:r>
      <w:r w:rsidRPr="003C6E58">
        <w:rPr>
          <w:rFonts w:eastAsiaTheme="minorEastAsia"/>
          <w:sz w:val="24"/>
          <w:szCs w:val="24"/>
        </w:rPr>
        <w:t xml:space="preserve">, </w:t>
      </w:r>
      <w:proofErr w:type="spellStart"/>
      <w:r w:rsidRPr="003C6E58">
        <w:rPr>
          <w:rFonts w:eastAsiaTheme="minorEastAsia"/>
          <w:b/>
          <w:bCs/>
          <w:sz w:val="24"/>
          <w:szCs w:val="24"/>
        </w:rPr>
        <w:t>ArtReach’s</w:t>
      </w:r>
      <w:proofErr w:type="spellEnd"/>
      <w:r w:rsidRPr="003C6E58">
        <w:rPr>
          <w:rFonts w:eastAsiaTheme="minorEastAsia"/>
          <w:b/>
          <w:bCs/>
          <w:sz w:val="24"/>
          <w:szCs w:val="24"/>
        </w:rPr>
        <w:t xml:space="preserve"> </w:t>
      </w:r>
      <w:r w:rsidRPr="003C6E58">
        <w:rPr>
          <w:rFonts w:eastAsiaTheme="minorEastAsia"/>
          <w:b/>
          <w:bCs/>
          <w:i/>
          <w:iCs/>
          <w:sz w:val="24"/>
          <w:szCs w:val="24"/>
        </w:rPr>
        <w:t>Journeys Festival</w:t>
      </w:r>
      <w:r w:rsidRPr="003C6E58">
        <w:rPr>
          <w:rFonts w:eastAsiaTheme="minorEastAsia"/>
          <w:sz w:val="24"/>
          <w:szCs w:val="24"/>
        </w:rPr>
        <w:t xml:space="preserve"> and </w:t>
      </w:r>
      <w:r w:rsidRPr="003C6E58">
        <w:rPr>
          <w:rFonts w:eastAsiaTheme="minorEastAsia"/>
          <w:b/>
          <w:bCs/>
          <w:sz w:val="24"/>
          <w:szCs w:val="24"/>
        </w:rPr>
        <w:t xml:space="preserve">Culture Central’s </w:t>
      </w:r>
      <w:r w:rsidRPr="003C6E58">
        <w:rPr>
          <w:rFonts w:eastAsiaTheme="minorEastAsia"/>
          <w:b/>
          <w:bCs/>
          <w:i/>
          <w:iCs/>
          <w:sz w:val="24"/>
          <w:szCs w:val="24"/>
        </w:rPr>
        <w:t>Transforming Narratives</w:t>
      </w:r>
      <w:r w:rsidR="0050372F">
        <w:rPr>
          <w:rFonts w:eastAsiaTheme="minorEastAsia"/>
          <w:i/>
          <w:iCs/>
          <w:sz w:val="24"/>
          <w:szCs w:val="24"/>
        </w:rPr>
        <w:t xml:space="preserve">. </w:t>
      </w:r>
      <w:r w:rsidR="0050372F">
        <w:rPr>
          <w:rFonts w:eastAsiaTheme="minorEastAsia"/>
          <w:sz w:val="24"/>
          <w:szCs w:val="24"/>
        </w:rPr>
        <w:t>P</w:t>
      </w:r>
      <w:r w:rsidRPr="003C6E58">
        <w:rPr>
          <w:rFonts w:eastAsiaTheme="minorEastAsia"/>
          <w:sz w:val="24"/>
          <w:szCs w:val="24"/>
        </w:rPr>
        <w:t xml:space="preserve">rojects additionally addressed barriers to entry and progression of people from disadvantaged social backgrounds, for example </w:t>
      </w:r>
      <w:r w:rsidRPr="003C6E58">
        <w:rPr>
          <w:rFonts w:eastAsiaTheme="minorEastAsia"/>
          <w:b/>
          <w:bCs/>
          <w:sz w:val="24"/>
          <w:szCs w:val="24"/>
        </w:rPr>
        <w:t xml:space="preserve">Jerwood Charitable Foundation’s </w:t>
      </w:r>
      <w:r w:rsidRPr="003C6E58">
        <w:rPr>
          <w:rFonts w:eastAsiaTheme="minorEastAsia"/>
          <w:b/>
          <w:bCs/>
          <w:i/>
          <w:iCs/>
          <w:sz w:val="24"/>
          <w:szCs w:val="24"/>
        </w:rPr>
        <w:t>Weston Jerwood Creative Bursaries</w:t>
      </w:r>
      <w:r w:rsidRPr="003C6E58">
        <w:rPr>
          <w:rFonts w:eastAsiaTheme="minorEastAsia"/>
          <w:i/>
          <w:iCs/>
          <w:sz w:val="24"/>
          <w:szCs w:val="24"/>
        </w:rPr>
        <w:t xml:space="preserve">. </w:t>
      </w:r>
    </w:p>
    <w:p w14:paraId="766CCFD6" w14:textId="007B4FA8" w:rsidR="00F9163F" w:rsidRDefault="00F119E9" w:rsidP="003C6E58">
      <w:pPr>
        <w:ind w:left="720"/>
        <w:rPr>
          <w:rFonts w:eastAsiaTheme="minorEastAsia"/>
          <w:sz w:val="24"/>
          <w:szCs w:val="24"/>
        </w:rPr>
      </w:pPr>
      <w:r>
        <w:rPr>
          <w:rFonts w:eastAsiaTheme="minorEastAsia"/>
          <w:sz w:val="24"/>
          <w:szCs w:val="24"/>
        </w:rPr>
        <w:t xml:space="preserve">Individually each of these projects was strong; collectively they represent significant progress in practice, </w:t>
      </w:r>
      <w:proofErr w:type="gramStart"/>
      <w:r>
        <w:rPr>
          <w:rFonts w:eastAsiaTheme="minorEastAsia"/>
          <w:sz w:val="24"/>
          <w:szCs w:val="24"/>
        </w:rPr>
        <w:t>scale</w:t>
      </w:r>
      <w:proofErr w:type="gramEnd"/>
      <w:r>
        <w:rPr>
          <w:rFonts w:eastAsiaTheme="minorEastAsia"/>
          <w:sz w:val="24"/>
          <w:szCs w:val="24"/>
        </w:rPr>
        <w:t xml:space="preserve"> and ambition towards a more diverse sector. Th</w:t>
      </w:r>
      <w:r w:rsidR="006A75BB">
        <w:rPr>
          <w:rFonts w:eastAsiaTheme="minorEastAsia"/>
          <w:sz w:val="24"/>
          <w:szCs w:val="24"/>
        </w:rPr>
        <w:t>is has been evidenced further through th</w:t>
      </w:r>
      <w:r>
        <w:rPr>
          <w:rFonts w:eastAsiaTheme="minorEastAsia"/>
          <w:sz w:val="24"/>
          <w:szCs w:val="24"/>
        </w:rPr>
        <w:t>e increased investment in diverse-led</w:t>
      </w:r>
      <w:r w:rsidR="0050372F">
        <w:rPr>
          <w:rFonts w:eastAsiaTheme="minorEastAsia"/>
          <w:sz w:val="24"/>
          <w:szCs w:val="24"/>
        </w:rPr>
        <w:t xml:space="preserve"> organisations </w:t>
      </w:r>
      <w:r w:rsidR="00D72701">
        <w:rPr>
          <w:rFonts w:eastAsiaTheme="minorEastAsia"/>
          <w:sz w:val="24"/>
          <w:szCs w:val="24"/>
        </w:rPr>
        <w:t>in</w:t>
      </w:r>
      <w:r>
        <w:rPr>
          <w:rFonts w:eastAsiaTheme="minorEastAsia"/>
          <w:sz w:val="24"/>
          <w:szCs w:val="24"/>
        </w:rPr>
        <w:t xml:space="preserve"> the 2023-26 </w:t>
      </w:r>
      <w:r w:rsidR="0050372F">
        <w:rPr>
          <w:rFonts w:eastAsiaTheme="minorEastAsia"/>
          <w:sz w:val="24"/>
          <w:szCs w:val="24"/>
        </w:rPr>
        <w:t>I</w:t>
      </w:r>
      <w:r w:rsidR="00C144BC">
        <w:rPr>
          <w:rFonts w:eastAsiaTheme="minorEastAsia"/>
          <w:sz w:val="24"/>
          <w:szCs w:val="24"/>
        </w:rPr>
        <w:t xml:space="preserve">nvestment </w:t>
      </w:r>
      <w:r w:rsidR="0050372F">
        <w:rPr>
          <w:rFonts w:eastAsiaTheme="minorEastAsia"/>
          <w:sz w:val="24"/>
          <w:szCs w:val="24"/>
        </w:rPr>
        <w:t>P</w:t>
      </w:r>
      <w:r w:rsidR="00C144BC">
        <w:rPr>
          <w:rFonts w:eastAsiaTheme="minorEastAsia"/>
          <w:sz w:val="24"/>
          <w:szCs w:val="24"/>
        </w:rPr>
        <w:t>rogramme</w:t>
      </w:r>
      <w:r>
        <w:rPr>
          <w:rFonts w:eastAsiaTheme="minorEastAsia"/>
          <w:sz w:val="24"/>
          <w:szCs w:val="24"/>
        </w:rPr>
        <w:t xml:space="preserve">, including welcoming </w:t>
      </w:r>
      <w:r w:rsidRPr="00DB1BA9">
        <w:rPr>
          <w:rFonts w:eastAsiaTheme="minorEastAsia"/>
          <w:b/>
          <w:bCs/>
          <w:sz w:val="24"/>
          <w:szCs w:val="24"/>
        </w:rPr>
        <w:t>Unlimited</w:t>
      </w:r>
      <w:r>
        <w:rPr>
          <w:rFonts w:eastAsiaTheme="minorEastAsia"/>
          <w:sz w:val="24"/>
          <w:szCs w:val="24"/>
        </w:rPr>
        <w:t xml:space="preserve"> to the</w:t>
      </w:r>
      <w:r w:rsidR="00FB094A">
        <w:rPr>
          <w:rFonts w:eastAsiaTheme="minorEastAsia"/>
          <w:sz w:val="24"/>
          <w:szCs w:val="24"/>
        </w:rPr>
        <w:t xml:space="preserve"> national</w:t>
      </w:r>
      <w:r>
        <w:rPr>
          <w:rFonts w:eastAsiaTheme="minorEastAsia"/>
          <w:sz w:val="24"/>
          <w:szCs w:val="24"/>
        </w:rPr>
        <w:t xml:space="preserve"> portfolio, increased investment for the </w:t>
      </w:r>
      <w:r w:rsidRPr="00DB1BA9">
        <w:rPr>
          <w:rFonts w:eastAsiaTheme="minorEastAsia"/>
          <w:b/>
          <w:bCs/>
          <w:sz w:val="24"/>
          <w:szCs w:val="24"/>
        </w:rPr>
        <w:t>Diverse City/Extraordinary Bodies partnership</w:t>
      </w:r>
      <w:r>
        <w:rPr>
          <w:rFonts w:eastAsiaTheme="minorEastAsia"/>
          <w:sz w:val="24"/>
          <w:szCs w:val="24"/>
        </w:rPr>
        <w:t xml:space="preserve"> and an uplift for </w:t>
      </w:r>
      <w:r w:rsidRPr="00DB1BA9">
        <w:rPr>
          <w:rFonts w:eastAsiaTheme="minorEastAsia"/>
          <w:b/>
          <w:bCs/>
          <w:sz w:val="24"/>
          <w:szCs w:val="24"/>
        </w:rPr>
        <w:t>Tin Arts</w:t>
      </w:r>
      <w:r>
        <w:rPr>
          <w:rFonts w:eastAsiaTheme="minorEastAsia"/>
          <w:sz w:val="24"/>
          <w:szCs w:val="24"/>
        </w:rPr>
        <w:t xml:space="preserve"> to build on their artist development work. </w:t>
      </w:r>
    </w:p>
    <w:p w14:paraId="0E44BAF8" w14:textId="7BA7BBF9" w:rsidR="003C6E58" w:rsidRPr="00AE499B" w:rsidRDefault="003C6E58" w:rsidP="00AE499B">
      <w:pPr>
        <w:pStyle w:val="ListParagraph"/>
        <w:numPr>
          <w:ilvl w:val="0"/>
          <w:numId w:val="20"/>
        </w:numPr>
        <w:rPr>
          <w:rFonts w:eastAsiaTheme="minorEastAsia"/>
          <w:sz w:val="24"/>
          <w:szCs w:val="24"/>
        </w:rPr>
      </w:pPr>
      <w:r w:rsidRPr="00AE499B">
        <w:rPr>
          <w:rFonts w:eastAsiaTheme="minorEastAsia"/>
          <w:sz w:val="24"/>
          <w:szCs w:val="24"/>
        </w:rPr>
        <w:t>T</w:t>
      </w:r>
      <w:r w:rsidR="00F119E9" w:rsidRPr="00AE499B">
        <w:rPr>
          <w:rFonts w:eastAsiaTheme="minorEastAsia"/>
          <w:sz w:val="24"/>
          <w:szCs w:val="24"/>
        </w:rPr>
        <w:t xml:space="preserve">he focus on </w:t>
      </w:r>
      <w:r w:rsidR="00F119E9" w:rsidRPr="00AE499B">
        <w:rPr>
          <w:rFonts w:eastAsiaTheme="minorEastAsia"/>
          <w:b/>
          <w:bCs/>
          <w:sz w:val="24"/>
          <w:szCs w:val="24"/>
        </w:rPr>
        <w:t>developing community cultural partnerships to deliver a much-improved offer for people in their localities</w:t>
      </w:r>
      <w:r w:rsidR="00F119E9" w:rsidRPr="00AE499B">
        <w:rPr>
          <w:rFonts w:eastAsiaTheme="minorEastAsia"/>
          <w:sz w:val="24"/>
          <w:szCs w:val="24"/>
        </w:rPr>
        <w:t xml:space="preserve"> was a significant strand of Ambition for Excellence investment. </w:t>
      </w:r>
    </w:p>
    <w:p w14:paraId="55E7B8EF" w14:textId="3D695DEA" w:rsidR="00F119E9" w:rsidRDefault="00F119E9" w:rsidP="00C96098">
      <w:pPr>
        <w:ind w:left="720"/>
        <w:rPr>
          <w:rFonts w:eastAsiaTheme="minorEastAsia"/>
          <w:sz w:val="24"/>
          <w:szCs w:val="24"/>
        </w:rPr>
      </w:pPr>
      <w:r>
        <w:rPr>
          <w:rFonts w:eastAsiaTheme="minorEastAsia"/>
          <w:sz w:val="24"/>
          <w:szCs w:val="24"/>
        </w:rPr>
        <w:t xml:space="preserve">The </w:t>
      </w:r>
      <w:r w:rsidRPr="00DB1BA9">
        <w:rPr>
          <w:rFonts w:eastAsiaTheme="minorEastAsia"/>
          <w:b/>
          <w:bCs/>
          <w:sz w:val="24"/>
          <w:szCs w:val="24"/>
        </w:rPr>
        <w:t>Heart of Glass</w:t>
      </w:r>
      <w:r>
        <w:rPr>
          <w:rFonts w:eastAsiaTheme="minorEastAsia"/>
          <w:sz w:val="24"/>
          <w:szCs w:val="24"/>
        </w:rPr>
        <w:t xml:space="preserve"> project in St Helens and the </w:t>
      </w:r>
      <w:r w:rsidRPr="00F71946">
        <w:rPr>
          <w:rFonts w:eastAsiaTheme="minorEastAsia"/>
          <w:b/>
          <w:bCs/>
          <w:i/>
          <w:iCs/>
          <w:sz w:val="24"/>
          <w:szCs w:val="24"/>
        </w:rPr>
        <w:t>Future Arts Centres</w:t>
      </w:r>
      <w:r>
        <w:rPr>
          <w:rFonts w:eastAsiaTheme="minorEastAsia"/>
          <w:sz w:val="24"/>
          <w:szCs w:val="24"/>
        </w:rPr>
        <w:t xml:space="preserve"> initiative led by </w:t>
      </w:r>
      <w:r w:rsidRPr="00DB1BA9">
        <w:rPr>
          <w:rFonts w:eastAsiaTheme="minorEastAsia"/>
          <w:b/>
          <w:bCs/>
          <w:sz w:val="24"/>
          <w:szCs w:val="24"/>
        </w:rPr>
        <w:t>Stockton ARC</w:t>
      </w:r>
      <w:r>
        <w:rPr>
          <w:rFonts w:eastAsiaTheme="minorEastAsia"/>
          <w:sz w:val="24"/>
          <w:szCs w:val="24"/>
        </w:rPr>
        <w:t xml:space="preserve"> have both helped inform the conversation about place-making and the role that partnership projects can play in reaching underserved communities. Support for </w:t>
      </w:r>
      <w:r w:rsidRPr="00DB1BA9">
        <w:rPr>
          <w:rFonts w:eastAsiaTheme="minorEastAsia"/>
          <w:b/>
          <w:bCs/>
          <w:sz w:val="24"/>
          <w:szCs w:val="24"/>
        </w:rPr>
        <w:t>Hull City of Culture</w:t>
      </w:r>
      <w:r>
        <w:rPr>
          <w:rFonts w:eastAsiaTheme="minorEastAsia"/>
          <w:sz w:val="24"/>
          <w:szCs w:val="24"/>
        </w:rPr>
        <w:t xml:space="preserve"> and the </w:t>
      </w:r>
      <w:proofErr w:type="spellStart"/>
      <w:r w:rsidRPr="00F71946">
        <w:rPr>
          <w:rFonts w:eastAsiaTheme="minorEastAsia"/>
          <w:b/>
          <w:bCs/>
          <w:i/>
          <w:iCs/>
          <w:sz w:val="24"/>
          <w:szCs w:val="24"/>
        </w:rPr>
        <w:t>Suramedura</w:t>
      </w:r>
      <w:proofErr w:type="spellEnd"/>
      <w:r w:rsidRPr="00F71946">
        <w:rPr>
          <w:rFonts w:eastAsiaTheme="minorEastAsia"/>
          <w:b/>
          <w:bCs/>
          <w:i/>
          <w:iCs/>
          <w:sz w:val="24"/>
          <w:szCs w:val="24"/>
        </w:rPr>
        <w:t xml:space="preserve"> project</w:t>
      </w:r>
      <w:r>
        <w:rPr>
          <w:rFonts w:eastAsiaTheme="minorEastAsia"/>
          <w:sz w:val="24"/>
          <w:szCs w:val="24"/>
        </w:rPr>
        <w:t xml:space="preserve"> for </w:t>
      </w:r>
      <w:r w:rsidRPr="00DB1BA9">
        <w:rPr>
          <w:rFonts w:eastAsiaTheme="minorEastAsia"/>
          <w:b/>
          <w:bCs/>
          <w:sz w:val="24"/>
          <w:szCs w:val="24"/>
        </w:rPr>
        <w:t>Freedom Festival</w:t>
      </w:r>
      <w:r>
        <w:rPr>
          <w:rFonts w:eastAsiaTheme="minorEastAsia"/>
          <w:sz w:val="24"/>
          <w:szCs w:val="24"/>
        </w:rPr>
        <w:t xml:space="preserve"> have fed into the development of a renewed and impactful offer for the city.  </w:t>
      </w:r>
      <w:r w:rsidRPr="00DB1BA9">
        <w:rPr>
          <w:rFonts w:eastAsiaTheme="minorEastAsia"/>
          <w:b/>
          <w:bCs/>
          <w:sz w:val="24"/>
          <w:szCs w:val="24"/>
        </w:rPr>
        <w:t>Folkestone Triennial</w:t>
      </w:r>
      <w:r>
        <w:rPr>
          <w:rFonts w:eastAsiaTheme="minorEastAsia"/>
          <w:sz w:val="24"/>
          <w:szCs w:val="24"/>
        </w:rPr>
        <w:t xml:space="preserve"> is also a lasting major event made possible by the support of Ambition for Excellence in its early stages. </w:t>
      </w:r>
      <w:r w:rsidRPr="00DB1BA9">
        <w:rPr>
          <w:rFonts w:eastAsiaTheme="minorEastAsia"/>
          <w:b/>
          <w:bCs/>
          <w:sz w:val="24"/>
          <w:szCs w:val="24"/>
        </w:rPr>
        <w:t>Metal’s Estuary</w:t>
      </w:r>
      <w:r>
        <w:rPr>
          <w:rFonts w:eastAsiaTheme="minorEastAsia"/>
          <w:sz w:val="24"/>
          <w:szCs w:val="24"/>
        </w:rPr>
        <w:t xml:space="preserve"> festival is another example of a major place-based project initiated with the support of Ambition for Excellence.</w:t>
      </w:r>
    </w:p>
    <w:p w14:paraId="35AE8403" w14:textId="653EEE92" w:rsidR="00F119E9" w:rsidRDefault="00916343" w:rsidP="00F119E9">
      <w:pPr>
        <w:rPr>
          <w:rFonts w:eastAsiaTheme="minorEastAsia"/>
          <w:sz w:val="24"/>
          <w:szCs w:val="24"/>
        </w:rPr>
      </w:pPr>
      <w:r>
        <w:rPr>
          <w:rFonts w:eastAsiaTheme="minorEastAsia"/>
          <w:sz w:val="24"/>
          <w:szCs w:val="24"/>
        </w:rPr>
        <w:t xml:space="preserve">The evaluation </w:t>
      </w:r>
      <w:r w:rsidR="00ED5A71">
        <w:rPr>
          <w:rFonts w:eastAsiaTheme="minorEastAsia"/>
          <w:sz w:val="24"/>
          <w:szCs w:val="24"/>
        </w:rPr>
        <w:t xml:space="preserve">additionally </w:t>
      </w:r>
      <w:r w:rsidR="00A930F6">
        <w:rPr>
          <w:rFonts w:eastAsiaTheme="minorEastAsia"/>
          <w:sz w:val="24"/>
          <w:szCs w:val="24"/>
        </w:rPr>
        <w:t xml:space="preserve">provides evidence </w:t>
      </w:r>
      <w:r w:rsidR="00E65775">
        <w:rPr>
          <w:rFonts w:eastAsiaTheme="minorEastAsia"/>
          <w:sz w:val="24"/>
          <w:szCs w:val="24"/>
        </w:rPr>
        <w:t xml:space="preserve">that </w:t>
      </w:r>
      <w:r w:rsidR="00F119E9">
        <w:rPr>
          <w:rFonts w:eastAsiaTheme="minorEastAsia"/>
          <w:sz w:val="24"/>
          <w:szCs w:val="24"/>
        </w:rPr>
        <w:t xml:space="preserve">Ambition for Excellence, </w:t>
      </w:r>
      <w:r w:rsidR="007C01C8">
        <w:rPr>
          <w:rFonts w:eastAsiaTheme="minorEastAsia"/>
          <w:sz w:val="24"/>
          <w:szCs w:val="24"/>
        </w:rPr>
        <w:t>through</w:t>
      </w:r>
      <w:r w:rsidR="00F119E9">
        <w:rPr>
          <w:rFonts w:eastAsiaTheme="minorEastAsia"/>
          <w:sz w:val="24"/>
          <w:szCs w:val="24"/>
        </w:rPr>
        <w:t xml:space="preserve"> investment at scale, supported major development of outdoor arts and work for festivals</w:t>
      </w:r>
      <w:r w:rsidR="00DE0648">
        <w:rPr>
          <w:rFonts w:eastAsiaTheme="minorEastAsia"/>
          <w:sz w:val="24"/>
          <w:szCs w:val="24"/>
        </w:rPr>
        <w:t>. This</w:t>
      </w:r>
      <w:r w:rsidR="00F119E9">
        <w:rPr>
          <w:rFonts w:eastAsiaTheme="minorEastAsia"/>
          <w:sz w:val="24"/>
          <w:szCs w:val="24"/>
        </w:rPr>
        <w:t xml:space="preserve"> strengthen</w:t>
      </w:r>
      <w:r w:rsidR="00DE0648">
        <w:rPr>
          <w:rFonts w:eastAsiaTheme="minorEastAsia"/>
          <w:sz w:val="24"/>
          <w:szCs w:val="24"/>
        </w:rPr>
        <w:t>ed</w:t>
      </w:r>
      <w:r w:rsidR="00F119E9">
        <w:rPr>
          <w:rFonts w:eastAsiaTheme="minorEastAsia"/>
          <w:sz w:val="24"/>
          <w:szCs w:val="24"/>
        </w:rPr>
        <w:t xml:space="preserve"> the offer for audiences and participants and buil</w:t>
      </w:r>
      <w:r w:rsidR="00DE0648">
        <w:rPr>
          <w:rFonts w:eastAsiaTheme="minorEastAsia"/>
          <w:sz w:val="24"/>
          <w:szCs w:val="24"/>
        </w:rPr>
        <w:t>t</w:t>
      </w:r>
      <w:r w:rsidR="00F119E9">
        <w:rPr>
          <w:rFonts w:eastAsiaTheme="minorEastAsia"/>
          <w:sz w:val="24"/>
          <w:szCs w:val="24"/>
        </w:rPr>
        <w:t xml:space="preserve"> a more resilient outdoor arts sector. From critical investment in </w:t>
      </w:r>
      <w:r w:rsidR="00F119E9" w:rsidRPr="00DB1BA9">
        <w:rPr>
          <w:rFonts w:eastAsiaTheme="minorEastAsia"/>
          <w:b/>
          <w:bCs/>
          <w:sz w:val="24"/>
          <w:szCs w:val="24"/>
        </w:rPr>
        <w:t>Corn Exchange</w:t>
      </w:r>
      <w:r w:rsidR="00F119E9">
        <w:rPr>
          <w:rFonts w:eastAsiaTheme="minorEastAsia"/>
          <w:sz w:val="24"/>
          <w:szCs w:val="24"/>
        </w:rPr>
        <w:t xml:space="preserve"> </w:t>
      </w:r>
      <w:r w:rsidR="00F119E9" w:rsidRPr="00061876">
        <w:rPr>
          <w:rFonts w:eastAsiaTheme="minorEastAsia"/>
          <w:b/>
          <w:bCs/>
          <w:i/>
          <w:iCs/>
          <w:sz w:val="24"/>
          <w:szCs w:val="24"/>
        </w:rPr>
        <w:t>Newbury’s 101 Outdoor Arts Creation Centre,</w:t>
      </w:r>
      <w:r w:rsidR="00F119E9">
        <w:rPr>
          <w:rFonts w:eastAsiaTheme="minorEastAsia"/>
          <w:sz w:val="24"/>
          <w:szCs w:val="24"/>
        </w:rPr>
        <w:t xml:space="preserve"> to investment in key outdoor art works such as </w:t>
      </w:r>
      <w:r w:rsidR="00F119E9" w:rsidRPr="00DB1BA9">
        <w:rPr>
          <w:rFonts w:eastAsiaTheme="minorEastAsia"/>
          <w:b/>
          <w:bCs/>
          <w:sz w:val="24"/>
          <w:szCs w:val="24"/>
        </w:rPr>
        <w:t xml:space="preserve">Godiva’s </w:t>
      </w:r>
      <w:r w:rsidR="00F119E9" w:rsidRPr="00DB1BA9">
        <w:rPr>
          <w:rFonts w:eastAsiaTheme="minorEastAsia"/>
          <w:b/>
          <w:bCs/>
          <w:i/>
          <w:iCs/>
          <w:sz w:val="24"/>
          <w:szCs w:val="24"/>
        </w:rPr>
        <w:t>The Bridge</w:t>
      </w:r>
      <w:r w:rsidR="00F119E9">
        <w:rPr>
          <w:rFonts w:eastAsiaTheme="minorEastAsia"/>
          <w:sz w:val="24"/>
          <w:szCs w:val="24"/>
        </w:rPr>
        <w:t xml:space="preserve">, </w:t>
      </w:r>
      <w:r w:rsidR="00F119E9" w:rsidRPr="00DB1BA9">
        <w:rPr>
          <w:rFonts w:eastAsiaTheme="minorEastAsia"/>
          <w:b/>
          <w:bCs/>
          <w:sz w:val="24"/>
          <w:szCs w:val="24"/>
        </w:rPr>
        <w:t xml:space="preserve">Mind the Gap’s </w:t>
      </w:r>
      <w:r w:rsidR="00F119E9" w:rsidRPr="00DB1BA9">
        <w:rPr>
          <w:rFonts w:eastAsiaTheme="minorEastAsia"/>
          <w:b/>
          <w:bCs/>
          <w:i/>
          <w:iCs/>
          <w:sz w:val="24"/>
          <w:szCs w:val="24"/>
        </w:rPr>
        <w:t>Zara</w:t>
      </w:r>
      <w:r w:rsidR="00F119E9">
        <w:rPr>
          <w:rFonts w:eastAsiaTheme="minorEastAsia"/>
          <w:sz w:val="24"/>
          <w:szCs w:val="24"/>
        </w:rPr>
        <w:t xml:space="preserve"> and </w:t>
      </w:r>
      <w:r w:rsidR="00F119E9" w:rsidRPr="00DB1BA9">
        <w:rPr>
          <w:rFonts w:eastAsiaTheme="minorEastAsia"/>
          <w:b/>
          <w:bCs/>
          <w:sz w:val="24"/>
          <w:szCs w:val="24"/>
        </w:rPr>
        <w:t xml:space="preserve">Artichoke’s </w:t>
      </w:r>
      <w:r w:rsidR="00F119E9" w:rsidRPr="00DB1BA9">
        <w:rPr>
          <w:rFonts w:eastAsiaTheme="minorEastAsia"/>
          <w:b/>
          <w:bCs/>
          <w:i/>
          <w:iCs/>
          <w:sz w:val="24"/>
          <w:szCs w:val="24"/>
        </w:rPr>
        <w:t>London</w:t>
      </w:r>
      <w:r w:rsidR="00F119E9" w:rsidRPr="00DB1BA9">
        <w:rPr>
          <w:rFonts w:eastAsiaTheme="minorEastAsia"/>
          <w:b/>
          <w:bCs/>
          <w:i/>
          <w:iCs/>
          <w:caps/>
          <w:sz w:val="24"/>
          <w:szCs w:val="24"/>
        </w:rPr>
        <w:t xml:space="preserve"> 1666</w:t>
      </w:r>
      <w:r w:rsidR="00F119E9">
        <w:rPr>
          <w:rFonts w:eastAsiaTheme="minorEastAsia"/>
          <w:i/>
          <w:iCs/>
          <w:caps/>
          <w:sz w:val="24"/>
          <w:szCs w:val="24"/>
        </w:rPr>
        <w:t xml:space="preserve">, </w:t>
      </w:r>
      <w:r w:rsidR="00F119E9">
        <w:rPr>
          <w:rFonts w:eastAsiaTheme="minorEastAsia"/>
          <w:sz w:val="24"/>
          <w:szCs w:val="24"/>
        </w:rPr>
        <w:t xml:space="preserve">the programme has invested in a broad infrastructure underpinning the conceptualisation, </w:t>
      </w:r>
      <w:proofErr w:type="gramStart"/>
      <w:r w:rsidR="00F119E9">
        <w:rPr>
          <w:rFonts w:eastAsiaTheme="minorEastAsia"/>
          <w:sz w:val="24"/>
          <w:szCs w:val="24"/>
        </w:rPr>
        <w:t>creation</w:t>
      </w:r>
      <w:proofErr w:type="gramEnd"/>
      <w:r w:rsidR="00F119E9">
        <w:rPr>
          <w:rFonts w:eastAsiaTheme="minorEastAsia"/>
          <w:sz w:val="24"/>
          <w:szCs w:val="24"/>
        </w:rPr>
        <w:t xml:space="preserve"> and delivery of major national outdoor projects. </w:t>
      </w:r>
    </w:p>
    <w:p w14:paraId="72735732" w14:textId="77777777" w:rsidR="00902E70" w:rsidRPr="00C96098" w:rsidRDefault="00902E70" w:rsidP="00C96098">
      <w:pPr>
        <w:pStyle w:val="pf0"/>
        <w:rPr>
          <w:rFonts w:asciiTheme="minorHAnsi" w:hAnsiTheme="minorHAnsi" w:cstheme="minorHAnsi"/>
          <w:sz w:val="28"/>
          <w:szCs w:val="28"/>
        </w:rPr>
      </w:pPr>
      <w:r w:rsidRPr="00C96098">
        <w:rPr>
          <w:rStyle w:val="cf01"/>
          <w:rFonts w:asciiTheme="minorHAnsi" w:hAnsiTheme="minorHAnsi" w:cstheme="minorHAnsi"/>
          <w:sz w:val="24"/>
          <w:szCs w:val="24"/>
        </w:rPr>
        <w:t>As well as highlighting successes of the programme, the report also helpfully raised some learnings for the creative and cultural sector, including the Arts Council, to consider for the future:</w:t>
      </w:r>
    </w:p>
    <w:p w14:paraId="374413FA" w14:textId="500AD4AD" w:rsidR="002D7947" w:rsidRDefault="002650EA" w:rsidP="00B57A89">
      <w:pPr>
        <w:pStyle w:val="ListParagraph"/>
        <w:numPr>
          <w:ilvl w:val="0"/>
          <w:numId w:val="16"/>
        </w:numPr>
        <w:rPr>
          <w:rFonts w:eastAsiaTheme="minorEastAsia"/>
          <w:sz w:val="24"/>
          <w:szCs w:val="24"/>
        </w:rPr>
      </w:pPr>
      <w:r w:rsidRPr="007061B7">
        <w:rPr>
          <w:rFonts w:eastAsiaTheme="minorEastAsia"/>
          <w:b/>
          <w:bCs/>
          <w:sz w:val="24"/>
          <w:szCs w:val="24"/>
        </w:rPr>
        <w:lastRenderedPageBreak/>
        <w:t>P</w:t>
      </w:r>
      <w:r w:rsidR="00F119E9" w:rsidRPr="007061B7">
        <w:rPr>
          <w:rFonts w:eastAsiaTheme="minorEastAsia"/>
          <w:b/>
          <w:bCs/>
          <w:sz w:val="24"/>
          <w:szCs w:val="24"/>
        </w:rPr>
        <w:t>rojects rooted in strong partnerships generally flourish</w:t>
      </w:r>
      <w:r w:rsidR="0051617B" w:rsidRPr="007061B7">
        <w:rPr>
          <w:rFonts w:eastAsiaTheme="minorEastAsia"/>
          <w:b/>
          <w:bCs/>
          <w:sz w:val="24"/>
          <w:szCs w:val="24"/>
        </w:rPr>
        <w:t>ed</w:t>
      </w:r>
      <w:r w:rsidR="00D03D48">
        <w:rPr>
          <w:rFonts w:eastAsiaTheme="minorEastAsia"/>
          <w:sz w:val="24"/>
          <w:szCs w:val="24"/>
        </w:rPr>
        <w:t>, wh</w:t>
      </w:r>
      <w:r w:rsidR="00DA5AB0">
        <w:rPr>
          <w:rFonts w:eastAsiaTheme="minorEastAsia"/>
          <w:sz w:val="24"/>
          <w:szCs w:val="24"/>
        </w:rPr>
        <w:t>ereas</w:t>
      </w:r>
      <w:r w:rsidR="00D03D48">
        <w:rPr>
          <w:rFonts w:eastAsiaTheme="minorEastAsia"/>
          <w:sz w:val="24"/>
          <w:szCs w:val="24"/>
        </w:rPr>
        <w:t xml:space="preserve"> others </w:t>
      </w:r>
      <w:r w:rsidR="00DA5AB0">
        <w:rPr>
          <w:rFonts w:eastAsiaTheme="minorEastAsia"/>
          <w:sz w:val="24"/>
          <w:szCs w:val="24"/>
        </w:rPr>
        <w:t>reported that managing relations between project partners was challenging</w:t>
      </w:r>
      <w:r w:rsidR="00417516">
        <w:rPr>
          <w:rFonts w:eastAsiaTheme="minorEastAsia"/>
          <w:sz w:val="24"/>
          <w:szCs w:val="24"/>
        </w:rPr>
        <w:t xml:space="preserve">. </w:t>
      </w:r>
    </w:p>
    <w:p w14:paraId="1CCB8914" w14:textId="77777777" w:rsidR="002D7947" w:rsidRDefault="002D7947" w:rsidP="002D7947">
      <w:pPr>
        <w:pStyle w:val="ListParagraph"/>
        <w:rPr>
          <w:rFonts w:eastAsiaTheme="minorEastAsia"/>
          <w:sz w:val="24"/>
          <w:szCs w:val="24"/>
        </w:rPr>
      </w:pPr>
    </w:p>
    <w:p w14:paraId="786FF3C8" w14:textId="6D5D7CF4" w:rsidR="002D7947" w:rsidRDefault="00CF7EE0" w:rsidP="002D7947">
      <w:pPr>
        <w:pStyle w:val="ListParagraph"/>
        <w:rPr>
          <w:rFonts w:eastAsiaTheme="minorEastAsia"/>
          <w:sz w:val="24"/>
          <w:szCs w:val="24"/>
        </w:rPr>
      </w:pPr>
      <w:r>
        <w:rPr>
          <w:rFonts w:eastAsiaTheme="minorEastAsia"/>
          <w:sz w:val="24"/>
          <w:szCs w:val="24"/>
        </w:rPr>
        <w:t>We recognise</w:t>
      </w:r>
      <w:r w:rsidR="00F119E9" w:rsidRPr="00B57A89">
        <w:rPr>
          <w:rFonts w:eastAsiaTheme="minorEastAsia"/>
          <w:sz w:val="24"/>
          <w:szCs w:val="24"/>
        </w:rPr>
        <w:t xml:space="preserve"> the </w:t>
      </w:r>
      <w:r>
        <w:rPr>
          <w:rFonts w:eastAsiaTheme="minorEastAsia"/>
          <w:sz w:val="24"/>
          <w:szCs w:val="24"/>
        </w:rPr>
        <w:t xml:space="preserve">importance of the </w:t>
      </w:r>
      <w:r w:rsidR="00F119E9" w:rsidRPr="00B57A89">
        <w:rPr>
          <w:rFonts w:eastAsiaTheme="minorEastAsia"/>
          <w:sz w:val="24"/>
          <w:szCs w:val="24"/>
        </w:rPr>
        <w:t>nature and strength of partnerships in major project delivery</w:t>
      </w:r>
      <w:r w:rsidR="00273620">
        <w:rPr>
          <w:rFonts w:eastAsiaTheme="minorEastAsia"/>
          <w:sz w:val="24"/>
          <w:szCs w:val="24"/>
        </w:rPr>
        <w:t>, which is why it</w:t>
      </w:r>
      <w:r w:rsidR="00F119E9" w:rsidRPr="00B57A89">
        <w:rPr>
          <w:rFonts w:eastAsiaTheme="minorEastAsia"/>
          <w:sz w:val="24"/>
          <w:szCs w:val="24"/>
        </w:rPr>
        <w:t xml:space="preserve"> </w:t>
      </w:r>
      <w:r w:rsidR="00273620">
        <w:rPr>
          <w:rFonts w:eastAsiaTheme="minorEastAsia"/>
          <w:sz w:val="24"/>
          <w:szCs w:val="24"/>
        </w:rPr>
        <w:t>is</w:t>
      </w:r>
      <w:r w:rsidR="00273620" w:rsidRPr="00B57A89">
        <w:rPr>
          <w:rFonts w:eastAsiaTheme="minorEastAsia"/>
          <w:sz w:val="24"/>
          <w:szCs w:val="24"/>
        </w:rPr>
        <w:t xml:space="preserve"> </w:t>
      </w:r>
      <w:r w:rsidR="00F119E9" w:rsidRPr="00B57A89">
        <w:rPr>
          <w:rFonts w:eastAsiaTheme="minorEastAsia"/>
          <w:sz w:val="24"/>
          <w:szCs w:val="24"/>
        </w:rPr>
        <w:t>a key factor in decision-making for larger-scale national Project Grant investment.</w:t>
      </w:r>
    </w:p>
    <w:p w14:paraId="3C643774" w14:textId="77777777" w:rsidR="002D7947" w:rsidRPr="00C96098" w:rsidRDefault="002D7947" w:rsidP="00C96098">
      <w:pPr>
        <w:pStyle w:val="ListParagraph"/>
        <w:rPr>
          <w:rFonts w:eastAsiaTheme="minorEastAsia"/>
          <w:sz w:val="24"/>
          <w:szCs w:val="24"/>
        </w:rPr>
      </w:pPr>
    </w:p>
    <w:p w14:paraId="21DC3A11" w14:textId="77777777" w:rsidR="0050353B" w:rsidRDefault="00241CA7" w:rsidP="0050353B">
      <w:pPr>
        <w:pStyle w:val="ListParagraph"/>
        <w:numPr>
          <w:ilvl w:val="0"/>
          <w:numId w:val="16"/>
        </w:numPr>
        <w:rPr>
          <w:rFonts w:eastAsiaTheme="minorEastAsia"/>
          <w:sz w:val="24"/>
          <w:szCs w:val="24"/>
        </w:rPr>
      </w:pPr>
      <w:r w:rsidRPr="007061B7">
        <w:rPr>
          <w:rFonts w:eastAsiaTheme="minorEastAsia"/>
          <w:b/>
          <w:bCs/>
          <w:sz w:val="24"/>
          <w:szCs w:val="24"/>
        </w:rPr>
        <w:t>Consulting and engaging with communities</w:t>
      </w:r>
      <w:r>
        <w:rPr>
          <w:rFonts w:eastAsiaTheme="minorEastAsia"/>
          <w:sz w:val="24"/>
          <w:szCs w:val="24"/>
        </w:rPr>
        <w:t xml:space="preserve"> </w:t>
      </w:r>
      <w:proofErr w:type="gramStart"/>
      <w:r>
        <w:rPr>
          <w:rFonts w:eastAsiaTheme="minorEastAsia"/>
          <w:sz w:val="24"/>
          <w:szCs w:val="24"/>
        </w:rPr>
        <w:t>is</w:t>
      </w:r>
      <w:proofErr w:type="gramEnd"/>
      <w:r>
        <w:rPr>
          <w:rFonts w:eastAsiaTheme="minorEastAsia"/>
          <w:sz w:val="24"/>
          <w:szCs w:val="24"/>
        </w:rPr>
        <w:t xml:space="preserve"> key to successfully implement</w:t>
      </w:r>
      <w:r w:rsidR="002112BA">
        <w:rPr>
          <w:rFonts w:eastAsiaTheme="minorEastAsia"/>
          <w:sz w:val="24"/>
          <w:szCs w:val="24"/>
        </w:rPr>
        <w:t>ing</w:t>
      </w:r>
      <w:r>
        <w:rPr>
          <w:rFonts w:eastAsiaTheme="minorEastAsia"/>
          <w:sz w:val="24"/>
          <w:szCs w:val="24"/>
        </w:rPr>
        <w:t xml:space="preserve"> projects</w:t>
      </w:r>
      <w:r w:rsidR="002112BA">
        <w:rPr>
          <w:rFonts w:eastAsiaTheme="minorEastAsia"/>
          <w:sz w:val="24"/>
          <w:szCs w:val="24"/>
        </w:rPr>
        <w:t xml:space="preserve"> and building their legacy.</w:t>
      </w:r>
      <w:r>
        <w:rPr>
          <w:rFonts w:eastAsiaTheme="minorEastAsia"/>
          <w:sz w:val="24"/>
          <w:szCs w:val="24"/>
        </w:rPr>
        <w:t xml:space="preserve"> </w:t>
      </w:r>
    </w:p>
    <w:p w14:paraId="2574C8F6" w14:textId="77777777" w:rsidR="0050353B" w:rsidRDefault="0050353B" w:rsidP="0050353B">
      <w:pPr>
        <w:pStyle w:val="ListParagraph"/>
        <w:rPr>
          <w:rFonts w:eastAsiaTheme="minorEastAsia"/>
          <w:b/>
          <w:bCs/>
          <w:sz w:val="24"/>
          <w:szCs w:val="24"/>
        </w:rPr>
      </w:pPr>
    </w:p>
    <w:p w14:paraId="4CD5FC71" w14:textId="18AC4F8E" w:rsidR="00EA1932" w:rsidRPr="0050353B" w:rsidRDefault="00F119E9" w:rsidP="0050353B">
      <w:pPr>
        <w:pStyle w:val="ListParagraph"/>
        <w:rPr>
          <w:rFonts w:eastAsiaTheme="minorEastAsia"/>
          <w:sz w:val="24"/>
          <w:szCs w:val="24"/>
        </w:rPr>
      </w:pPr>
      <w:r w:rsidRPr="0050353B">
        <w:rPr>
          <w:rFonts w:eastAsiaTheme="minorEastAsia"/>
          <w:sz w:val="24"/>
          <w:szCs w:val="24"/>
        </w:rPr>
        <w:t>Since the inception of Ambition for Excellence, the Arts Council has strengthened its guidance</w:t>
      </w:r>
      <w:r w:rsidR="00DD3B26" w:rsidRPr="0050353B">
        <w:rPr>
          <w:rFonts w:eastAsiaTheme="minorEastAsia"/>
          <w:sz w:val="24"/>
          <w:szCs w:val="24"/>
        </w:rPr>
        <w:t xml:space="preserve"> </w:t>
      </w:r>
      <w:r w:rsidRPr="0050353B">
        <w:rPr>
          <w:rFonts w:eastAsiaTheme="minorEastAsia"/>
          <w:sz w:val="24"/>
          <w:szCs w:val="24"/>
        </w:rPr>
        <w:t xml:space="preserve">and expectations around </w:t>
      </w:r>
      <w:r w:rsidR="007D62DA" w:rsidRPr="0050353B">
        <w:rPr>
          <w:rFonts w:eastAsiaTheme="minorEastAsia"/>
          <w:sz w:val="24"/>
          <w:szCs w:val="24"/>
        </w:rPr>
        <w:t xml:space="preserve">community consultation and engagement </w:t>
      </w:r>
      <w:r w:rsidR="0042490E" w:rsidRPr="0050353B">
        <w:rPr>
          <w:rFonts w:eastAsiaTheme="minorEastAsia"/>
          <w:sz w:val="24"/>
          <w:szCs w:val="24"/>
        </w:rPr>
        <w:t xml:space="preserve">– all our </w:t>
      </w:r>
      <w:r w:rsidR="5929B818" w:rsidRPr="0050353B">
        <w:rPr>
          <w:rFonts w:eastAsiaTheme="minorEastAsia"/>
          <w:sz w:val="24"/>
          <w:szCs w:val="24"/>
        </w:rPr>
        <w:t xml:space="preserve">major </w:t>
      </w:r>
      <w:r w:rsidR="0042490E" w:rsidRPr="0050353B">
        <w:rPr>
          <w:rFonts w:eastAsiaTheme="minorEastAsia"/>
          <w:sz w:val="24"/>
          <w:szCs w:val="24"/>
        </w:rPr>
        <w:t>funding recipients</w:t>
      </w:r>
      <w:r w:rsidR="00602B2D" w:rsidRPr="0050353B">
        <w:rPr>
          <w:rFonts w:eastAsiaTheme="minorEastAsia"/>
          <w:sz w:val="24"/>
          <w:szCs w:val="24"/>
        </w:rPr>
        <w:t xml:space="preserve"> </w:t>
      </w:r>
      <w:r w:rsidRPr="0050353B">
        <w:rPr>
          <w:rFonts w:eastAsiaTheme="minorEastAsia"/>
          <w:sz w:val="24"/>
          <w:szCs w:val="24"/>
        </w:rPr>
        <w:t xml:space="preserve">now need to demonstrate their plans to ensure access, excellence, </w:t>
      </w:r>
      <w:proofErr w:type="gramStart"/>
      <w:r w:rsidRPr="0050353B">
        <w:rPr>
          <w:rFonts w:eastAsiaTheme="minorEastAsia"/>
          <w:sz w:val="24"/>
          <w:szCs w:val="24"/>
        </w:rPr>
        <w:t>inclusivity</w:t>
      </w:r>
      <w:proofErr w:type="gramEnd"/>
      <w:r w:rsidRPr="0050353B">
        <w:rPr>
          <w:rFonts w:eastAsiaTheme="minorEastAsia"/>
          <w:sz w:val="24"/>
          <w:szCs w:val="24"/>
        </w:rPr>
        <w:t xml:space="preserve"> and relevance. </w:t>
      </w:r>
      <w:r w:rsidR="003C61D1" w:rsidRPr="0050353B">
        <w:rPr>
          <w:rFonts w:eastAsiaTheme="minorEastAsia"/>
          <w:sz w:val="24"/>
          <w:szCs w:val="24"/>
        </w:rPr>
        <w:t xml:space="preserve"> </w:t>
      </w:r>
    </w:p>
    <w:p w14:paraId="0331E692" w14:textId="77777777" w:rsidR="00EA1932" w:rsidRDefault="00EA1932" w:rsidP="002D7947">
      <w:pPr>
        <w:pStyle w:val="ListParagraph"/>
        <w:rPr>
          <w:rFonts w:eastAsiaTheme="minorEastAsia"/>
          <w:sz w:val="24"/>
          <w:szCs w:val="24"/>
        </w:rPr>
      </w:pPr>
    </w:p>
    <w:p w14:paraId="091A319B" w14:textId="693AE5BB" w:rsidR="002D7947" w:rsidRDefault="00EA1932" w:rsidP="002D7947">
      <w:pPr>
        <w:pStyle w:val="ListParagraph"/>
        <w:rPr>
          <w:rFonts w:eastAsiaTheme="minorEastAsia"/>
          <w:sz w:val="24"/>
          <w:szCs w:val="24"/>
        </w:rPr>
      </w:pPr>
      <w:r>
        <w:rPr>
          <w:rFonts w:eastAsiaTheme="minorEastAsia"/>
          <w:sz w:val="24"/>
          <w:szCs w:val="24"/>
        </w:rPr>
        <w:t xml:space="preserve">Our funding programme </w:t>
      </w:r>
      <w:hyperlink r:id="rId10" w:history="1">
        <w:r w:rsidR="0042490E">
          <w:rPr>
            <w:rStyle w:val="Hyperlink"/>
            <w:rFonts w:eastAsiaTheme="minorEastAsia"/>
            <w:sz w:val="24"/>
            <w:szCs w:val="24"/>
          </w:rPr>
          <w:t>Creative People and Places</w:t>
        </w:r>
      </w:hyperlink>
      <w:r w:rsidR="004D1111">
        <w:rPr>
          <w:rFonts w:eastAsiaTheme="minorEastAsia"/>
          <w:sz w:val="24"/>
          <w:szCs w:val="24"/>
        </w:rPr>
        <w:t>, now in its 10</w:t>
      </w:r>
      <w:r w:rsidR="004D1111" w:rsidRPr="000205E3">
        <w:rPr>
          <w:rFonts w:eastAsiaTheme="minorEastAsia"/>
          <w:sz w:val="24"/>
          <w:szCs w:val="24"/>
          <w:vertAlign w:val="superscript"/>
        </w:rPr>
        <w:t>th</w:t>
      </w:r>
      <w:r w:rsidR="004D1111">
        <w:rPr>
          <w:rFonts w:eastAsiaTheme="minorEastAsia"/>
          <w:sz w:val="24"/>
          <w:szCs w:val="24"/>
        </w:rPr>
        <w:t xml:space="preserve"> year,</w:t>
      </w:r>
      <w:r w:rsidR="003C61D1" w:rsidRPr="007D62DA">
        <w:rPr>
          <w:rFonts w:eastAsiaTheme="minorEastAsia"/>
          <w:sz w:val="24"/>
          <w:szCs w:val="24"/>
        </w:rPr>
        <w:t xml:space="preserve"> has </w:t>
      </w:r>
      <w:r>
        <w:rPr>
          <w:rFonts w:eastAsiaTheme="minorEastAsia"/>
          <w:sz w:val="24"/>
          <w:szCs w:val="24"/>
        </w:rPr>
        <w:t xml:space="preserve">particularly </w:t>
      </w:r>
      <w:r w:rsidR="00CC0CB6">
        <w:rPr>
          <w:rFonts w:eastAsiaTheme="minorEastAsia"/>
          <w:sz w:val="24"/>
          <w:szCs w:val="24"/>
        </w:rPr>
        <w:t xml:space="preserve">led the way in </w:t>
      </w:r>
      <w:r w:rsidR="003C61D1" w:rsidRPr="007D62DA">
        <w:rPr>
          <w:rFonts w:eastAsiaTheme="minorEastAsia"/>
          <w:sz w:val="24"/>
          <w:szCs w:val="24"/>
        </w:rPr>
        <w:t>put</w:t>
      </w:r>
      <w:r w:rsidR="00CC0CB6">
        <w:rPr>
          <w:rFonts w:eastAsiaTheme="minorEastAsia"/>
          <w:sz w:val="24"/>
          <w:szCs w:val="24"/>
        </w:rPr>
        <w:t>ting</w:t>
      </w:r>
      <w:r w:rsidR="003C61D1" w:rsidRPr="007D62DA">
        <w:rPr>
          <w:rFonts w:eastAsiaTheme="minorEastAsia"/>
          <w:sz w:val="24"/>
          <w:szCs w:val="24"/>
        </w:rPr>
        <w:t xml:space="preserve"> </w:t>
      </w:r>
      <w:r w:rsidR="004D1111">
        <w:rPr>
          <w:rFonts w:eastAsiaTheme="minorEastAsia"/>
          <w:sz w:val="24"/>
          <w:szCs w:val="24"/>
        </w:rPr>
        <w:t xml:space="preserve">community </w:t>
      </w:r>
      <w:r w:rsidR="003C61D1" w:rsidRPr="007D62DA">
        <w:rPr>
          <w:rFonts w:eastAsiaTheme="minorEastAsia"/>
          <w:sz w:val="24"/>
          <w:szCs w:val="24"/>
        </w:rPr>
        <w:t>consultation and engagement at the heart of the</w:t>
      </w:r>
      <w:r w:rsidR="00355CAF">
        <w:rPr>
          <w:rFonts w:eastAsiaTheme="minorEastAsia"/>
          <w:sz w:val="24"/>
          <w:szCs w:val="24"/>
        </w:rPr>
        <w:t xml:space="preserve"> Arts Council’s strategy for 2020-2030,</w:t>
      </w:r>
      <w:r w:rsidR="003C61D1" w:rsidRPr="007D62DA">
        <w:rPr>
          <w:rFonts w:eastAsiaTheme="minorEastAsia"/>
          <w:sz w:val="24"/>
          <w:szCs w:val="24"/>
        </w:rPr>
        <w:t xml:space="preserve"> Let</w:t>
      </w:r>
      <w:r w:rsidR="00E72CAD">
        <w:rPr>
          <w:rFonts w:eastAsiaTheme="minorEastAsia"/>
          <w:sz w:val="24"/>
          <w:szCs w:val="24"/>
        </w:rPr>
        <w:t>’</w:t>
      </w:r>
      <w:r w:rsidR="003C61D1" w:rsidRPr="007D62DA">
        <w:rPr>
          <w:rFonts w:eastAsiaTheme="minorEastAsia"/>
          <w:sz w:val="24"/>
          <w:szCs w:val="24"/>
        </w:rPr>
        <w:t>s Create</w:t>
      </w:r>
      <w:r w:rsidR="00CC0CB6">
        <w:rPr>
          <w:rFonts w:eastAsiaTheme="minorEastAsia"/>
          <w:sz w:val="24"/>
          <w:szCs w:val="24"/>
        </w:rPr>
        <w:t>.</w:t>
      </w:r>
      <w:r w:rsidR="003C61D1" w:rsidRPr="007D62DA">
        <w:rPr>
          <w:rFonts w:eastAsiaTheme="minorEastAsia"/>
          <w:sz w:val="24"/>
          <w:szCs w:val="24"/>
        </w:rPr>
        <w:t xml:space="preserve"> </w:t>
      </w:r>
      <w:r w:rsidR="00CC0CB6">
        <w:rPr>
          <w:rFonts w:eastAsiaTheme="minorEastAsia"/>
          <w:sz w:val="24"/>
          <w:szCs w:val="24"/>
        </w:rPr>
        <w:t>I</w:t>
      </w:r>
      <w:r w:rsidR="003C61D1" w:rsidRPr="007D62DA">
        <w:rPr>
          <w:rFonts w:eastAsiaTheme="minorEastAsia"/>
          <w:sz w:val="24"/>
          <w:szCs w:val="24"/>
        </w:rPr>
        <w:t>n</w:t>
      </w:r>
      <w:r w:rsidR="00355CAF">
        <w:rPr>
          <w:rFonts w:eastAsiaTheme="minorEastAsia"/>
          <w:sz w:val="24"/>
          <w:szCs w:val="24"/>
        </w:rPr>
        <w:t xml:space="preserve"> recognition of this, </w:t>
      </w:r>
      <w:r w:rsidR="009E48CE">
        <w:rPr>
          <w:rFonts w:eastAsiaTheme="minorEastAsia"/>
          <w:sz w:val="24"/>
          <w:szCs w:val="24"/>
        </w:rPr>
        <w:t>in</w:t>
      </w:r>
      <w:r w:rsidR="003C61D1" w:rsidRPr="007D62DA">
        <w:rPr>
          <w:rFonts w:eastAsiaTheme="minorEastAsia"/>
          <w:sz w:val="24"/>
          <w:szCs w:val="24"/>
        </w:rPr>
        <w:t xml:space="preserve"> 202</w:t>
      </w:r>
      <w:r w:rsidR="009E48CE">
        <w:rPr>
          <w:rFonts w:eastAsiaTheme="minorEastAsia"/>
          <w:sz w:val="24"/>
          <w:szCs w:val="24"/>
        </w:rPr>
        <w:t>2</w:t>
      </w:r>
      <w:r w:rsidR="003C61D1" w:rsidRPr="007D62DA">
        <w:rPr>
          <w:rFonts w:eastAsiaTheme="minorEastAsia"/>
          <w:sz w:val="24"/>
          <w:szCs w:val="24"/>
        </w:rPr>
        <w:t xml:space="preserve"> we brought 39 </w:t>
      </w:r>
      <w:r w:rsidR="009E48CE">
        <w:rPr>
          <w:rFonts w:eastAsiaTheme="minorEastAsia"/>
          <w:sz w:val="24"/>
          <w:szCs w:val="24"/>
        </w:rPr>
        <w:t xml:space="preserve">Creative People and Places projects </w:t>
      </w:r>
      <w:r w:rsidR="003C61D1" w:rsidRPr="007D62DA">
        <w:rPr>
          <w:rFonts w:eastAsiaTheme="minorEastAsia"/>
          <w:sz w:val="24"/>
          <w:szCs w:val="24"/>
        </w:rPr>
        <w:t xml:space="preserve">into </w:t>
      </w:r>
      <w:r w:rsidR="009E48CE">
        <w:rPr>
          <w:rFonts w:eastAsiaTheme="minorEastAsia"/>
          <w:sz w:val="24"/>
          <w:szCs w:val="24"/>
        </w:rPr>
        <w:t>our National</w:t>
      </w:r>
      <w:r w:rsidR="003C61D1" w:rsidRPr="007D62DA">
        <w:rPr>
          <w:rFonts w:eastAsiaTheme="minorEastAsia"/>
          <w:sz w:val="24"/>
          <w:szCs w:val="24"/>
        </w:rPr>
        <w:t xml:space="preserve"> </w:t>
      </w:r>
      <w:r w:rsidR="009E48CE">
        <w:rPr>
          <w:rFonts w:eastAsiaTheme="minorEastAsia"/>
          <w:sz w:val="24"/>
          <w:szCs w:val="24"/>
        </w:rPr>
        <w:t>P</w:t>
      </w:r>
      <w:r w:rsidR="003C61D1" w:rsidRPr="007D62DA">
        <w:rPr>
          <w:rFonts w:eastAsiaTheme="minorEastAsia"/>
          <w:sz w:val="24"/>
          <w:szCs w:val="24"/>
        </w:rPr>
        <w:t>ortfolio</w:t>
      </w:r>
      <w:r w:rsidR="000205E3">
        <w:rPr>
          <w:rFonts w:eastAsiaTheme="minorEastAsia"/>
          <w:sz w:val="24"/>
          <w:szCs w:val="24"/>
        </w:rPr>
        <w:t xml:space="preserve"> to </w:t>
      </w:r>
      <w:r w:rsidR="003C61D1" w:rsidRPr="007D62DA">
        <w:rPr>
          <w:rFonts w:eastAsiaTheme="minorEastAsia"/>
          <w:sz w:val="24"/>
          <w:szCs w:val="24"/>
        </w:rPr>
        <w:t>continu</w:t>
      </w:r>
      <w:r w:rsidR="000205E3">
        <w:rPr>
          <w:rFonts w:eastAsiaTheme="minorEastAsia"/>
          <w:sz w:val="24"/>
          <w:szCs w:val="24"/>
        </w:rPr>
        <w:t>e</w:t>
      </w:r>
      <w:r w:rsidR="003C61D1" w:rsidRPr="007D62DA">
        <w:rPr>
          <w:rFonts w:eastAsiaTheme="minorEastAsia"/>
          <w:sz w:val="24"/>
          <w:szCs w:val="24"/>
        </w:rPr>
        <w:t xml:space="preserve"> build</w:t>
      </w:r>
      <w:r w:rsidR="000205E3">
        <w:rPr>
          <w:rFonts w:eastAsiaTheme="minorEastAsia"/>
          <w:sz w:val="24"/>
          <w:szCs w:val="24"/>
        </w:rPr>
        <w:t>ing</w:t>
      </w:r>
      <w:r w:rsidR="003C61D1" w:rsidRPr="007D62DA">
        <w:rPr>
          <w:rFonts w:eastAsiaTheme="minorEastAsia"/>
          <w:sz w:val="24"/>
          <w:szCs w:val="24"/>
        </w:rPr>
        <w:t xml:space="preserve"> community </w:t>
      </w:r>
      <w:r w:rsidR="00917E95" w:rsidRPr="007D62DA">
        <w:rPr>
          <w:rFonts w:eastAsiaTheme="minorEastAsia"/>
          <w:sz w:val="24"/>
          <w:szCs w:val="24"/>
        </w:rPr>
        <w:t>voices into the development of local cultural offers.</w:t>
      </w:r>
    </w:p>
    <w:p w14:paraId="0C7DA963" w14:textId="77777777" w:rsidR="002D7947" w:rsidRPr="00C96098" w:rsidRDefault="002D7947" w:rsidP="00C96098">
      <w:pPr>
        <w:pStyle w:val="ListParagraph"/>
        <w:rPr>
          <w:rFonts w:eastAsiaTheme="minorEastAsia"/>
          <w:sz w:val="24"/>
          <w:szCs w:val="24"/>
        </w:rPr>
      </w:pPr>
    </w:p>
    <w:p w14:paraId="17E3037E" w14:textId="507F8271" w:rsidR="002D7947" w:rsidRDefault="00A94F4D" w:rsidP="00743020">
      <w:pPr>
        <w:pStyle w:val="ListParagraph"/>
        <w:numPr>
          <w:ilvl w:val="0"/>
          <w:numId w:val="16"/>
        </w:numPr>
        <w:rPr>
          <w:rFonts w:eastAsiaTheme="minorEastAsia"/>
          <w:sz w:val="24"/>
          <w:szCs w:val="24"/>
        </w:rPr>
      </w:pPr>
      <w:r>
        <w:rPr>
          <w:rFonts w:eastAsiaTheme="minorEastAsia"/>
          <w:sz w:val="24"/>
          <w:szCs w:val="24"/>
        </w:rPr>
        <w:t>P</w:t>
      </w:r>
      <w:r w:rsidR="000205E3">
        <w:rPr>
          <w:rFonts w:eastAsiaTheme="minorEastAsia"/>
          <w:sz w:val="24"/>
          <w:szCs w:val="24"/>
        </w:rPr>
        <w:t xml:space="preserve">rojects </w:t>
      </w:r>
      <w:r>
        <w:rPr>
          <w:rFonts w:eastAsiaTheme="minorEastAsia"/>
          <w:sz w:val="24"/>
          <w:szCs w:val="24"/>
        </w:rPr>
        <w:t xml:space="preserve">would </w:t>
      </w:r>
      <w:r w:rsidR="00601BFA">
        <w:rPr>
          <w:rFonts w:eastAsiaTheme="minorEastAsia"/>
          <w:sz w:val="24"/>
          <w:szCs w:val="24"/>
        </w:rPr>
        <w:t>benefit from</w:t>
      </w:r>
      <w:r>
        <w:rPr>
          <w:rFonts w:eastAsiaTheme="minorEastAsia"/>
          <w:sz w:val="24"/>
          <w:szCs w:val="24"/>
        </w:rPr>
        <w:t xml:space="preserve"> more </w:t>
      </w:r>
      <w:r w:rsidR="00F119E9" w:rsidRPr="0050353B">
        <w:rPr>
          <w:rFonts w:eastAsiaTheme="minorEastAsia"/>
          <w:b/>
          <w:bCs/>
          <w:sz w:val="24"/>
          <w:szCs w:val="24"/>
        </w:rPr>
        <w:t xml:space="preserve">practical guidance and support, peer-led learning, </w:t>
      </w:r>
      <w:r w:rsidR="00F50315" w:rsidRPr="0050353B">
        <w:rPr>
          <w:rFonts w:eastAsiaTheme="minorEastAsia"/>
          <w:b/>
          <w:bCs/>
          <w:sz w:val="24"/>
          <w:szCs w:val="24"/>
        </w:rPr>
        <w:t xml:space="preserve">examples of </w:t>
      </w:r>
      <w:r w:rsidR="00F119E9" w:rsidRPr="0050353B">
        <w:rPr>
          <w:rFonts w:eastAsiaTheme="minorEastAsia"/>
          <w:b/>
          <w:bCs/>
          <w:sz w:val="24"/>
          <w:szCs w:val="24"/>
        </w:rPr>
        <w:t>good practice and advice on how to build sustainable legacy</w:t>
      </w:r>
      <w:r w:rsidR="00F119E9" w:rsidRPr="00743020">
        <w:rPr>
          <w:rFonts w:eastAsiaTheme="minorEastAsia"/>
          <w:sz w:val="24"/>
          <w:szCs w:val="24"/>
        </w:rPr>
        <w:t xml:space="preserve">. </w:t>
      </w:r>
    </w:p>
    <w:p w14:paraId="7DFFDB1E" w14:textId="77777777" w:rsidR="002D7947" w:rsidRDefault="002D7947" w:rsidP="002D7947">
      <w:pPr>
        <w:pStyle w:val="ListParagraph"/>
        <w:rPr>
          <w:rFonts w:eastAsiaTheme="minorEastAsia"/>
          <w:sz w:val="24"/>
          <w:szCs w:val="24"/>
        </w:rPr>
      </w:pPr>
    </w:p>
    <w:p w14:paraId="4C0EF100" w14:textId="1F11D893" w:rsidR="00F119E9" w:rsidRPr="00C96098" w:rsidRDefault="006C0F91" w:rsidP="00C96098">
      <w:pPr>
        <w:pStyle w:val="ListParagraph"/>
        <w:rPr>
          <w:rFonts w:eastAsiaTheme="minorEastAsia"/>
          <w:sz w:val="24"/>
          <w:szCs w:val="24"/>
        </w:rPr>
      </w:pPr>
      <w:r>
        <w:rPr>
          <w:rFonts w:eastAsiaTheme="minorEastAsia"/>
          <w:sz w:val="24"/>
          <w:szCs w:val="24"/>
        </w:rPr>
        <w:t xml:space="preserve">Following the success of the Creative People and Places peer learning programme, we increasingly look for opportunities to design peer-led learning into our funding programmes, for example </w:t>
      </w:r>
      <w:r w:rsidR="003C61D1" w:rsidRPr="00C96098">
        <w:rPr>
          <w:rFonts w:eastAsiaTheme="minorEastAsia"/>
          <w:sz w:val="24"/>
          <w:szCs w:val="24"/>
        </w:rPr>
        <w:t>the Cultural Development Fund.</w:t>
      </w:r>
      <w:r w:rsidR="004706EB" w:rsidRPr="00C96098">
        <w:rPr>
          <w:rFonts w:eastAsiaTheme="minorEastAsia"/>
          <w:sz w:val="24"/>
          <w:szCs w:val="24"/>
        </w:rPr>
        <w:t xml:space="preserve"> </w:t>
      </w:r>
      <w:r w:rsidR="002A504A">
        <w:rPr>
          <w:rFonts w:eastAsiaTheme="minorEastAsia"/>
          <w:sz w:val="24"/>
          <w:szCs w:val="24"/>
        </w:rPr>
        <w:t>We’</w:t>
      </w:r>
      <w:r w:rsidR="00816788">
        <w:rPr>
          <w:rFonts w:eastAsiaTheme="minorEastAsia"/>
          <w:sz w:val="24"/>
          <w:szCs w:val="24"/>
        </w:rPr>
        <w:t xml:space="preserve">re also delivering a </w:t>
      </w:r>
      <w:hyperlink r:id="rId11" w:history="1">
        <w:r w:rsidR="00816788" w:rsidRPr="005E4FE2">
          <w:rPr>
            <w:rStyle w:val="Hyperlink"/>
            <w:rFonts w:eastAsiaTheme="minorEastAsia"/>
            <w:sz w:val="24"/>
            <w:szCs w:val="24"/>
          </w:rPr>
          <w:t>place-based peer learning programme</w:t>
        </w:r>
      </w:hyperlink>
      <w:r w:rsidR="00FE3DB1">
        <w:rPr>
          <w:rFonts w:eastAsiaTheme="minorEastAsia"/>
          <w:sz w:val="24"/>
          <w:szCs w:val="24"/>
        </w:rPr>
        <w:t xml:space="preserve"> to help participants</w:t>
      </w:r>
      <w:r w:rsidR="00FE3DB1" w:rsidRPr="00FE3DB1">
        <w:rPr>
          <w:rFonts w:eastAsiaTheme="minorEastAsia"/>
          <w:sz w:val="24"/>
          <w:szCs w:val="24"/>
        </w:rPr>
        <w:t xml:space="preserve"> build networks, collaborate and exchange knowledge, best practice, ideas, and opportunities with others</w:t>
      </w:r>
      <w:r w:rsidR="00816788">
        <w:rPr>
          <w:rFonts w:eastAsiaTheme="minorEastAsia"/>
          <w:sz w:val="24"/>
          <w:szCs w:val="24"/>
        </w:rPr>
        <w:t xml:space="preserve">. All </w:t>
      </w:r>
      <w:r w:rsidR="0018187C">
        <w:rPr>
          <w:rFonts w:eastAsiaTheme="minorEastAsia"/>
          <w:sz w:val="24"/>
          <w:szCs w:val="24"/>
        </w:rPr>
        <w:t xml:space="preserve">of </w:t>
      </w:r>
      <w:r w:rsidR="00FE3DB1">
        <w:rPr>
          <w:rFonts w:eastAsiaTheme="minorEastAsia"/>
          <w:sz w:val="24"/>
          <w:szCs w:val="24"/>
        </w:rPr>
        <w:t xml:space="preserve">this work </w:t>
      </w:r>
      <w:r w:rsidR="004706EB" w:rsidRPr="00C96098">
        <w:rPr>
          <w:rFonts w:eastAsiaTheme="minorEastAsia"/>
          <w:sz w:val="24"/>
          <w:szCs w:val="24"/>
        </w:rPr>
        <w:t>place</w:t>
      </w:r>
      <w:r w:rsidR="00FE3DB1">
        <w:rPr>
          <w:rFonts w:eastAsiaTheme="minorEastAsia"/>
          <w:sz w:val="24"/>
          <w:szCs w:val="24"/>
        </w:rPr>
        <w:t>s</w:t>
      </w:r>
      <w:r w:rsidR="004706EB" w:rsidRPr="00C96098">
        <w:rPr>
          <w:rFonts w:eastAsiaTheme="minorEastAsia"/>
          <w:sz w:val="24"/>
          <w:szCs w:val="24"/>
        </w:rPr>
        <w:t xml:space="preserve"> value on longer term collaboration with communities.</w:t>
      </w:r>
    </w:p>
    <w:p w14:paraId="36B01D9D" w14:textId="3A27B00A" w:rsidR="00F80504" w:rsidRDefault="00F119E9" w:rsidP="00F80504">
      <w:pPr>
        <w:rPr>
          <w:rFonts w:eastAsiaTheme="minorEastAsia"/>
          <w:sz w:val="24"/>
          <w:szCs w:val="24"/>
        </w:rPr>
      </w:pPr>
      <w:r w:rsidRPr="00F80504">
        <w:rPr>
          <w:rFonts w:eastAsiaTheme="minorEastAsia"/>
          <w:sz w:val="24"/>
          <w:szCs w:val="24"/>
        </w:rPr>
        <w:t>We</w:t>
      </w:r>
      <w:r w:rsidR="00DD1C02">
        <w:rPr>
          <w:rFonts w:eastAsiaTheme="minorEastAsia"/>
          <w:sz w:val="24"/>
          <w:szCs w:val="24"/>
        </w:rPr>
        <w:t xml:space="preserve"> also</w:t>
      </w:r>
      <w:r w:rsidRPr="00F80504">
        <w:rPr>
          <w:rFonts w:eastAsiaTheme="minorEastAsia"/>
          <w:sz w:val="24"/>
          <w:szCs w:val="24"/>
        </w:rPr>
        <w:t xml:space="preserve"> </w:t>
      </w:r>
      <w:r w:rsidR="002F4DE0">
        <w:rPr>
          <w:rFonts w:eastAsiaTheme="minorEastAsia"/>
          <w:sz w:val="24"/>
          <w:szCs w:val="24"/>
        </w:rPr>
        <w:t xml:space="preserve">recognise </w:t>
      </w:r>
      <w:r w:rsidRPr="00F80504">
        <w:rPr>
          <w:rFonts w:eastAsiaTheme="minorEastAsia"/>
          <w:sz w:val="24"/>
          <w:szCs w:val="24"/>
        </w:rPr>
        <w:t>a call from participants to develop a follow-on programme</w:t>
      </w:r>
      <w:r w:rsidR="001C0111">
        <w:rPr>
          <w:rFonts w:eastAsiaTheme="minorEastAsia"/>
          <w:sz w:val="24"/>
          <w:szCs w:val="24"/>
        </w:rPr>
        <w:t>,</w:t>
      </w:r>
      <w:r w:rsidRPr="00F80504">
        <w:rPr>
          <w:rFonts w:eastAsiaTheme="minorEastAsia"/>
          <w:sz w:val="24"/>
          <w:szCs w:val="24"/>
        </w:rPr>
        <w:t xml:space="preserve"> offering a similar scale and ambition</w:t>
      </w:r>
      <w:r w:rsidR="001C0111">
        <w:rPr>
          <w:rFonts w:eastAsiaTheme="minorEastAsia"/>
          <w:sz w:val="24"/>
          <w:szCs w:val="24"/>
        </w:rPr>
        <w:t xml:space="preserve">, after some projects struggled to develop a sustainable legacy without Ambition for Excellence’s significant funding. </w:t>
      </w:r>
      <w:r w:rsidR="003D6AD1" w:rsidRPr="00F80504">
        <w:rPr>
          <w:rFonts w:eastAsiaTheme="minorEastAsia"/>
          <w:sz w:val="24"/>
          <w:szCs w:val="24"/>
        </w:rPr>
        <w:t xml:space="preserve"> </w:t>
      </w:r>
    </w:p>
    <w:p w14:paraId="3EA387EE" w14:textId="39D2C0A9" w:rsidR="00140F78" w:rsidRDefault="0072597C" w:rsidP="00F80504">
      <w:pPr>
        <w:rPr>
          <w:rFonts w:eastAsiaTheme="minorEastAsia"/>
          <w:sz w:val="24"/>
          <w:szCs w:val="24"/>
        </w:rPr>
      </w:pPr>
      <w:r>
        <w:rPr>
          <w:rFonts w:eastAsiaTheme="minorEastAsia"/>
          <w:sz w:val="24"/>
          <w:szCs w:val="24"/>
        </w:rPr>
        <w:t>O</w:t>
      </w:r>
      <w:r w:rsidR="00F119E9" w:rsidRPr="00F80504">
        <w:rPr>
          <w:rFonts w:eastAsiaTheme="minorEastAsia"/>
          <w:sz w:val="24"/>
          <w:szCs w:val="24"/>
        </w:rPr>
        <w:t xml:space="preserve">ver </w:t>
      </w:r>
      <w:r>
        <w:rPr>
          <w:rFonts w:eastAsiaTheme="minorEastAsia"/>
          <w:sz w:val="24"/>
          <w:szCs w:val="24"/>
        </w:rPr>
        <w:t>several</w:t>
      </w:r>
      <w:r w:rsidR="00F119E9" w:rsidRPr="00F80504">
        <w:rPr>
          <w:rFonts w:eastAsiaTheme="minorEastAsia"/>
          <w:sz w:val="24"/>
          <w:szCs w:val="24"/>
        </w:rPr>
        <w:t xml:space="preserve"> years</w:t>
      </w:r>
      <w:r>
        <w:rPr>
          <w:rFonts w:eastAsiaTheme="minorEastAsia"/>
          <w:sz w:val="24"/>
          <w:szCs w:val="24"/>
        </w:rPr>
        <w:t>, the Arts Council has</w:t>
      </w:r>
      <w:r w:rsidR="00F119E9" w:rsidRPr="00F80504">
        <w:rPr>
          <w:rFonts w:eastAsiaTheme="minorEastAsia"/>
          <w:sz w:val="24"/>
          <w:szCs w:val="24"/>
        </w:rPr>
        <w:t xml:space="preserve"> been reducing the number of separate grant programmes it operates and, instead, uses National Lottery Project Grants</w:t>
      </w:r>
      <w:r w:rsidR="00B113A1">
        <w:rPr>
          <w:rFonts w:eastAsiaTheme="minorEastAsia"/>
          <w:sz w:val="24"/>
          <w:szCs w:val="24"/>
        </w:rPr>
        <w:t xml:space="preserve"> (NLPG)</w:t>
      </w:r>
      <w:r w:rsidR="00F119E9" w:rsidRPr="00F80504">
        <w:rPr>
          <w:rFonts w:eastAsiaTheme="minorEastAsia"/>
          <w:sz w:val="24"/>
          <w:szCs w:val="24"/>
        </w:rPr>
        <w:t xml:space="preserve"> in a more strategic and flexible way. Whil</w:t>
      </w:r>
      <w:r w:rsidR="00B113A1">
        <w:rPr>
          <w:rFonts w:eastAsiaTheme="minorEastAsia"/>
          <w:sz w:val="24"/>
          <w:szCs w:val="24"/>
        </w:rPr>
        <w:t>e</w:t>
      </w:r>
      <w:r w:rsidR="00F119E9" w:rsidRPr="00F80504">
        <w:rPr>
          <w:rFonts w:eastAsiaTheme="minorEastAsia"/>
          <w:sz w:val="24"/>
          <w:szCs w:val="24"/>
        </w:rPr>
        <w:t xml:space="preserve"> Ambition for Excellence no longer exists as a separate funding programme, the opportunity to secure significant grants to create a step change in ambition in artform or in place does still exist</w:t>
      </w:r>
      <w:r w:rsidR="00B747E9">
        <w:rPr>
          <w:rFonts w:eastAsiaTheme="minorEastAsia"/>
          <w:sz w:val="24"/>
          <w:szCs w:val="24"/>
        </w:rPr>
        <w:t xml:space="preserve">. </w:t>
      </w:r>
    </w:p>
    <w:p w14:paraId="30D7DA03" w14:textId="7BA9A979" w:rsidR="00140F78" w:rsidRDefault="00B747E9" w:rsidP="00F80504">
      <w:pPr>
        <w:rPr>
          <w:rFonts w:eastAsiaTheme="minorEastAsia"/>
          <w:sz w:val="24"/>
          <w:szCs w:val="24"/>
        </w:rPr>
      </w:pPr>
      <w:r>
        <w:rPr>
          <w:rFonts w:eastAsiaTheme="minorEastAsia"/>
          <w:sz w:val="24"/>
          <w:szCs w:val="24"/>
        </w:rPr>
        <w:lastRenderedPageBreak/>
        <w:t>M</w:t>
      </w:r>
      <w:r w:rsidR="003C61D1" w:rsidRPr="00F80504">
        <w:rPr>
          <w:rFonts w:eastAsiaTheme="minorEastAsia"/>
          <w:sz w:val="24"/>
          <w:szCs w:val="24"/>
        </w:rPr>
        <w:t>any of the projects have secured additional support through</w:t>
      </w:r>
      <w:r>
        <w:rPr>
          <w:rFonts w:eastAsiaTheme="minorEastAsia"/>
          <w:sz w:val="24"/>
          <w:szCs w:val="24"/>
        </w:rPr>
        <w:t xml:space="preserve"> NLPG, or</w:t>
      </w:r>
      <w:r w:rsidR="003C61D1" w:rsidRPr="00F80504">
        <w:rPr>
          <w:rFonts w:eastAsiaTheme="minorEastAsia"/>
          <w:sz w:val="24"/>
          <w:szCs w:val="24"/>
        </w:rPr>
        <w:t xml:space="preserve"> </w:t>
      </w:r>
      <w:r>
        <w:rPr>
          <w:rFonts w:eastAsiaTheme="minorEastAsia"/>
          <w:sz w:val="24"/>
          <w:szCs w:val="24"/>
        </w:rPr>
        <w:t>the 2023-26 I</w:t>
      </w:r>
      <w:r w:rsidR="003C61D1" w:rsidRPr="00F80504">
        <w:rPr>
          <w:rFonts w:eastAsiaTheme="minorEastAsia"/>
          <w:sz w:val="24"/>
          <w:szCs w:val="24"/>
        </w:rPr>
        <w:t>nvestment</w:t>
      </w:r>
      <w:r>
        <w:rPr>
          <w:rFonts w:eastAsiaTheme="minorEastAsia"/>
          <w:sz w:val="24"/>
          <w:szCs w:val="24"/>
        </w:rPr>
        <w:t xml:space="preserve"> Programme</w:t>
      </w:r>
      <w:r w:rsidR="003C61D1" w:rsidRPr="00F80504">
        <w:rPr>
          <w:rFonts w:eastAsiaTheme="minorEastAsia"/>
          <w:sz w:val="24"/>
          <w:szCs w:val="24"/>
        </w:rPr>
        <w:t xml:space="preserve"> </w:t>
      </w:r>
      <w:r>
        <w:rPr>
          <w:rFonts w:eastAsiaTheme="minorEastAsia"/>
          <w:sz w:val="24"/>
          <w:szCs w:val="24"/>
        </w:rPr>
        <w:t>as outlined earlier</w:t>
      </w:r>
      <w:r w:rsidR="003C61D1" w:rsidRPr="00F80504">
        <w:rPr>
          <w:rFonts w:eastAsiaTheme="minorEastAsia"/>
          <w:sz w:val="24"/>
          <w:szCs w:val="24"/>
        </w:rPr>
        <w:t xml:space="preserve">. </w:t>
      </w:r>
    </w:p>
    <w:p w14:paraId="6AA16E40" w14:textId="2196E666" w:rsidR="005B7F4B" w:rsidRDefault="003C61D1" w:rsidP="00F119E9">
      <w:pPr>
        <w:rPr>
          <w:rFonts w:eastAsiaTheme="minorEastAsia"/>
          <w:sz w:val="24"/>
          <w:szCs w:val="24"/>
        </w:rPr>
      </w:pPr>
      <w:r w:rsidRPr="00F80504">
        <w:rPr>
          <w:rFonts w:eastAsiaTheme="minorEastAsia"/>
          <w:sz w:val="24"/>
          <w:szCs w:val="24"/>
        </w:rPr>
        <w:t>O</w:t>
      </w:r>
      <w:r w:rsidR="00F119E9" w:rsidRPr="00F80504">
        <w:rPr>
          <w:rFonts w:eastAsiaTheme="minorEastAsia"/>
          <w:sz w:val="24"/>
          <w:szCs w:val="24"/>
        </w:rPr>
        <w:t xml:space="preserve">ur </w:t>
      </w:r>
      <w:hyperlink r:id="rId12" w:history="1">
        <w:r w:rsidR="00ED526C">
          <w:rPr>
            <w:rStyle w:val="Hyperlink"/>
            <w:rFonts w:eastAsiaTheme="minorEastAsia"/>
            <w:sz w:val="24"/>
            <w:szCs w:val="24"/>
          </w:rPr>
          <w:t>Nationally Significant Projects strand</w:t>
        </w:r>
      </w:hyperlink>
      <w:r w:rsidR="00F119E9" w:rsidRPr="00F80504">
        <w:rPr>
          <w:rFonts w:eastAsiaTheme="minorEastAsia"/>
          <w:sz w:val="24"/>
          <w:szCs w:val="24"/>
        </w:rPr>
        <w:t xml:space="preserve"> </w:t>
      </w:r>
      <w:r w:rsidR="00ED526C">
        <w:rPr>
          <w:rFonts w:eastAsiaTheme="minorEastAsia"/>
          <w:sz w:val="24"/>
          <w:szCs w:val="24"/>
        </w:rPr>
        <w:t>of NLPG</w:t>
      </w:r>
      <w:r w:rsidR="00ED526C" w:rsidRPr="00F80504">
        <w:rPr>
          <w:rFonts w:eastAsiaTheme="minorEastAsia"/>
          <w:sz w:val="24"/>
          <w:szCs w:val="24"/>
        </w:rPr>
        <w:t xml:space="preserve"> </w:t>
      </w:r>
      <w:r w:rsidR="00F119E9" w:rsidRPr="00F80504">
        <w:rPr>
          <w:rFonts w:eastAsiaTheme="minorEastAsia"/>
          <w:sz w:val="24"/>
          <w:szCs w:val="24"/>
        </w:rPr>
        <w:t>can offer up to and, in exceptional circumstances over</w:t>
      </w:r>
      <w:r w:rsidR="00452055">
        <w:rPr>
          <w:rFonts w:eastAsiaTheme="minorEastAsia"/>
          <w:sz w:val="24"/>
          <w:szCs w:val="24"/>
        </w:rPr>
        <w:t>,</w:t>
      </w:r>
      <w:r w:rsidR="00F119E9" w:rsidRPr="00F80504">
        <w:rPr>
          <w:rFonts w:eastAsiaTheme="minorEastAsia"/>
          <w:sz w:val="24"/>
          <w:szCs w:val="24"/>
        </w:rPr>
        <w:t xml:space="preserve"> £1 million to support projects that have significant potential to develop the creative and cultural sector in England. Similarly, our </w:t>
      </w:r>
      <w:hyperlink r:id="rId13" w:history="1">
        <w:r w:rsidR="00F119E9" w:rsidRPr="005C2A55">
          <w:rPr>
            <w:rStyle w:val="Hyperlink"/>
            <w:rFonts w:eastAsiaTheme="minorEastAsia"/>
            <w:sz w:val="24"/>
            <w:szCs w:val="24"/>
          </w:rPr>
          <w:t>Place Partnership Programme</w:t>
        </w:r>
      </w:hyperlink>
      <w:r w:rsidR="00F119E9" w:rsidRPr="00F80504">
        <w:rPr>
          <w:rFonts w:eastAsiaTheme="minorEastAsia"/>
          <w:sz w:val="24"/>
          <w:szCs w:val="24"/>
        </w:rPr>
        <w:t xml:space="preserve"> within </w:t>
      </w:r>
      <w:r w:rsidR="00AE4DA6">
        <w:rPr>
          <w:rFonts w:eastAsiaTheme="minorEastAsia"/>
          <w:sz w:val="24"/>
          <w:szCs w:val="24"/>
        </w:rPr>
        <w:t>NLPG</w:t>
      </w:r>
      <w:r w:rsidR="00F119E9" w:rsidRPr="00F80504">
        <w:rPr>
          <w:rFonts w:eastAsiaTheme="minorEastAsia"/>
          <w:sz w:val="24"/>
          <w:szCs w:val="24"/>
        </w:rPr>
        <w:t xml:space="preserve"> offers significant investment to project consortia aiming to make a step change in cultural provision in a defined geographic location. </w:t>
      </w:r>
      <w:r w:rsidR="00F119E9">
        <w:rPr>
          <w:rFonts w:eastAsiaTheme="minorEastAsia"/>
          <w:sz w:val="24"/>
          <w:szCs w:val="24"/>
        </w:rPr>
        <w:t xml:space="preserve">Both these programmes support activity of scale and ambition and are focused on supporting partnership working to deliver high impact outcomes. </w:t>
      </w:r>
      <w:r w:rsidR="00925945" w:rsidRPr="00925945">
        <w:t xml:space="preserve"> </w:t>
      </w:r>
      <w:r w:rsidR="00925945" w:rsidRPr="00925945">
        <w:rPr>
          <w:rStyle w:val="cf01"/>
          <w:rFonts w:asciiTheme="minorHAnsi" w:hAnsiTheme="minorHAnsi" w:cstheme="minorHAnsi"/>
          <w:sz w:val="24"/>
          <w:szCs w:val="24"/>
        </w:rPr>
        <w:t>We are confident that many of the types of projects previously supported through Ambition for Excellence are now receiving investment through the Nationally Significant and Place Partnership strands of NLPG</w:t>
      </w:r>
      <w:r w:rsidR="00925945">
        <w:rPr>
          <w:rStyle w:val="cf01"/>
          <w:rFonts w:asciiTheme="minorHAnsi" w:hAnsiTheme="minorHAnsi" w:cstheme="minorHAnsi"/>
          <w:sz w:val="24"/>
          <w:szCs w:val="24"/>
        </w:rPr>
        <w:t>.</w:t>
      </w:r>
    </w:p>
    <w:p w14:paraId="1B8ED00F" w14:textId="732019AA" w:rsidR="00F119E9" w:rsidRDefault="005B7F4B" w:rsidP="00F119E9">
      <w:pPr>
        <w:rPr>
          <w:rFonts w:eastAsiaTheme="minorEastAsia"/>
          <w:sz w:val="24"/>
          <w:szCs w:val="24"/>
        </w:rPr>
      </w:pPr>
      <w:r>
        <w:rPr>
          <w:rFonts w:eastAsiaTheme="minorEastAsia"/>
          <w:sz w:val="24"/>
          <w:szCs w:val="24"/>
        </w:rPr>
        <w:t>A</w:t>
      </w:r>
      <w:r w:rsidR="00F119E9">
        <w:rPr>
          <w:rFonts w:eastAsiaTheme="minorEastAsia"/>
          <w:sz w:val="24"/>
          <w:szCs w:val="24"/>
        </w:rPr>
        <w:t xml:space="preserve"> commitment to ambition and quality remains one of the four </w:t>
      </w:r>
      <w:hyperlink r:id="rId14" w:history="1">
        <w:r w:rsidR="00AE4DA6" w:rsidRPr="00EF6865">
          <w:rPr>
            <w:rStyle w:val="Hyperlink"/>
            <w:rFonts w:eastAsiaTheme="minorEastAsia"/>
            <w:sz w:val="24"/>
            <w:szCs w:val="24"/>
          </w:rPr>
          <w:t>I</w:t>
        </w:r>
        <w:r w:rsidR="00F119E9" w:rsidRPr="00EF6865">
          <w:rPr>
            <w:rStyle w:val="Hyperlink"/>
            <w:rFonts w:eastAsiaTheme="minorEastAsia"/>
            <w:sz w:val="24"/>
            <w:szCs w:val="24"/>
          </w:rPr>
          <w:t xml:space="preserve">nvestment </w:t>
        </w:r>
        <w:r w:rsidR="00AE4DA6" w:rsidRPr="00EF6865">
          <w:rPr>
            <w:rStyle w:val="Hyperlink"/>
            <w:rFonts w:eastAsiaTheme="minorEastAsia"/>
            <w:sz w:val="24"/>
            <w:szCs w:val="24"/>
          </w:rPr>
          <w:t>P</w:t>
        </w:r>
        <w:r w:rsidR="00F119E9" w:rsidRPr="00EF6865">
          <w:rPr>
            <w:rStyle w:val="Hyperlink"/>
            <w:rFonts w:eastAsiaTheme="minorEastAsia"/>
            <w:sz w:val="24"/>
            <w:szCs w:val="24"/>
          </w:rPr>
          <w:t>rinciples</w:t>
        </w:r>
      </w:hyperlink>
      <w:r w:rsidR="00F119E9">
        <w:rPr>
          <w:rFonts w:eastAsiaTheme="minorEastAsia"/>
          <w:sz w:val="24"/>
          <w:szCs w:val="24"/>
        </w:rPr>
        <w:t xml:space="preserve"> </w:t>
      </w:r>
      <w:r>
        <w:rPr>
          <w:rFonts w:eastAsiaTheme="minorEastAsia"/>
          <w:sz w:val="24"/>
          <w:szCs w:val="24"/>
        </w:rPr>
        <w:t xml:space="preserve">of </w:t>
      </w:r>
      <w:r w:rsidR="00F119E9">
        <w:rPr>
          <w:rFonts w:eastAsiaTheme="minorEastAsia"/>
          <w:sz w:val="24"/>
          <w:szCs w:val="24"/>
        </w:rPr>
        <w:t>Let’s Create</w:t>
      </w:r>
      <w:r>
        <w:rPr>
          <w:rFonts w:eastAsiaTheme="minorEastAsia"/>
          <w:sz w:val="24"/>
          <w:szCs w:val="24"/>
        </w:rPr>
        <w:t xml:space="preserve">, however </w:t>
      </w:r>
      <w:r w:rsidR="00F119E9">
        <w:rPr>
          <w:rFonts w:eastAsiaTheme="minorEastAsia"/>
          <w:sz w:val="24"/>
          <w:szCs w:val="24"/>
        </w:rPr>
        <w:t>it is no longer the sole driver. Supporting the creation of relevant and inclusive work, encouraging dynamism and innovative new ways of working and recognising the importance of delivery in an environmentally responsible manner are key principles for the Arts Council’s major investment projects.</w:t>
      </w:r>
    </w:p>
    <w:p w14:paraId="2BDE7187" w14:textId="318577CF" w:rsidR="00F119E9" w:rsidRDefault="00F119E9" w:rsidP="00F119E9">
      <w:pPr>
        <w:rPr>
          <w:rFonts w:eastAsiaTheme="minorEastAsia"/>
          <w:sz w:val="24"/>
          <w:szCs w:val="24"/>
        </w:rPr>
      </w:pPr>
      <w:r>
        <w:rPr>
          <w:rFonts w:eastAsiaTheme="minorEastAsia"/>
          <w:sz w:val="24"/>
          <w:szCs w:val="24"/>
        </w:rPr>
        <w:t xml:space="preserve">So, while Ambition for Excellence may no longer exist as a stand-alone programme, the </w:t>
      </w:r>
      <w:proofErr w:type="gramStart"/>
      <w:r>
        <w:rPr>
          <w:rFonts w:eastAsiaTheme="minorEastAsia"/>
          <w:sz w:val="24"/>
          <w:szCs w:val="24"/>
        </w:rPr>
        <w:t>spirit</w:t>
      </w:r>
      <w:proofErr w:type="gramEnd"/>
      <w:r>
        <w:rPr>
          <w:rFonts w:eastAsiaTheme="minorEastAsia"/>
          <w:sz w:val="24"/>
          <w:szCs w:val="24"/>
        </w:rPr>
        <w:t xml:space="preserve"> </w:t>
      </w:r>
      <w:r w:rsidR="00335CA7">
        <w:rPr>
          <w:rFonts w:eastAsiaTheme="minorEastAsia"/>
          <w:sz w:val="24"/>
          <w:szCs w:val="24"/>
        </w:rPr>
        <w:t xml:space="preserve">and our commitment </w:t>
      </w:r>
      <w:r w:rsidR="00715392">
        <w:rPr>
          <w:rFonts w:eastAsiaTheme="minorEastAsia"/>
          <w:sz w:val="24"/>
          <w:szCs w:val="24"/>
        </w:rPr>
        <w:t xml:space="preserve">to </w:t>
      </w:r>
      <w:r>
        <w:rPr>
          <w:rFonts w:eastAsiaTheme="minorEastAsia"/>
          <w:sz w:val="24"/>
          <w:szCs w:val="24"/>
        </w:rPr>
        <w:t>it is represented in Let's Create and the opportunities it provided continue to exist in National Lottery Project Grants.</w:t>
      </w:r>
    </w:p>
    <w:p w14:paraId="6CD32E91" w14:textId="77777777" w:rsidR="004111E3" w:rsidRPr="00F119E9" w:rsidRDefault="004111E3" w:rsidP="00F119E9"/>
    <w:sectPr w:rsidR="004111E3" w:rsidRPr="00F119E9">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6E29B" w14:textId="77777777" w:rsidR="000B6948" w:rsidRDefault="000B6948" w:rsidP="00CF721B">
      <w:pPr>
        <w:spacing w:after="0" w:line="240" w:lineRule="auto"/>
      </w:pPr>
      <w:r>
        <w:separator/>
      </w:r>
    </w:p>
  </w:endnote>
  <w:endnote w:type="continuationSeparator" w:id="0">
    <w:p w14:paraId="236FFA33" w14:textId="77777777" w:rsidR="000B6948" w:rsidRDefault="000B6948" w:rsidP="00CF721B">
      <w:pPr>
        <w:spacing w:after="0" w:line="240" w:lineRule="auto"/>
      </w:pPr>
      <w:r>
        <w:continuationSeparator/>
      </w:r>
    </w:p>
  </w:endnote>
  <w:endnote w:type="continuationNotice" w:id="1">
    <w:p w14:paraId="7BF28F0A" w14:textId="77777777" w:rsidR="000B6948" w:rsidRDefault="000B69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F8AE9" w14:textId="77777777" w:rsidR="000B6948" w:rsidRDefault="000B6948" w:rsidP="00CF721B">
      <w:pPr>
        <w:spacing w:after="0" w:line="240" w:lineRule="auto"/>
      </w:pPr>
      <w:r>
        <w:separator/>
      </w:r>
    </w:p>
  </w:footnote>
  <w:footnote w:type="continuationSeparator" w:id="0">
    <w:p w14:paraId="1A7046A0" w14:textId="77777777" w:rsidR="000B6948" w:rsidRDefault="000B6948" w:rsidP="00CF721B">
      <w:pPr>
        <w:spacing w:after="0" w:line="240" w:lineRule="auto"/>
      </w:pPr>
      <w:r>
        <w:continuationSeparator/>
      </w:r>
    </w:p>
  </w:footnote>
  <w:footnote w:type="continuationNotice" w:id="1">
    <w:p w14:paraId="4A94C220" w14:textId="77777777" w:rsidR="000B6948" w:rsidRDefault="000B694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0771D"/>
    <w:multiLevelType w:val="hybridMultilevel"/>
    <w:tmpl w:val="893AF816"/>
    <w:lvl w:ilvl="0" w:tplc="FF74BE82">
      <w:start w:val="1"/>
      <w:numFmt w:val="decimal"/>
      <w:lvlText w:val="%1."/>
      <w:lvlJc w:val="left"/>
      <w:pPr>
        <w:ind w:left="770" w:hanging="360"/>
      </w:pPr>
      <w:rPr>
        <w:b/>
        <w:bCs/>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2" w15:restartNumberingAfterBreak="0">
    <w:nsid w:val="314D26F3"/>
    <w:multiLevelType w:val="hybridMultilevel"/>
    <w:tmpl w:val="EBC21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4D8E90"/>
    <w:multiLevelType w:val="hybridMultilevel"/>
    <w:tmpl w:val="B8029868"/>
    <w:lvl w:ilvl="0" w:tplc="3604B5A8">
      <w:start w:val="1"/>
      <w:numFmt w:val="bullet"/>
      <w:lvlText w:val=""/>
      <w:lvlJc w:val="left"/>
      <w:pPr>
        <w:ind w:left="720" w:hanging="360"/>
      </w:pPr>
      <w:rPr>
        <w:rFonts w:ascii="Symbol" w:hAnsi="Symbol" w:hint="default"/>
      </w:rPr>
    </w:lvl>
    <w:lvl w:ilvl="1" w:tplc="A3020A38">
      <w:start w:val="1"/>
      <w:numFmt w:val="bullet"/>
      <w:lvlText w:val="o"/>
      <w:lvlJc w:val="left"/>
      <w:pPr>
        <w:ind w:left="1440" w:hanging="360"/>
      </w:pPr>
      <w:rPr>
        <w:rFonts w:ascii="Courier New" w:hAnsi="Courier New" w:cs="Times New Roman" w:hint="default"/>
      </w:rPr>
    </w:lvl>
    <w:lvl w:ilvl="2" w:tplc="772A0CEC">
      <w:start w:val="1"/>
      <w:numFmt w:val="bullet"/>
      <w:lvlText w:val=""/>
      <w:lvlJc w:val="left"/>
      <w:pPr>
        <w:ind w:left="2160" w:hanging="360"/>
      </w:pPr>
      <w:rPr>
        <w:rFonts w:ascii="Wingdings" w:hAnsi="Wingdings" w:hint="default"/>
      </w:rPr>
    </w:lvl>
    <w:lvl w:ilvl="3" w:tplc="F71A222A">
      <w:start w:val="1"/>
      <w:numFmt w:val="bullet"/>
      <w:lvlText w:val=""/>
      <w:lvlJc w:val="left"/>
      <w:pPr>
        <w:ind w:left="2880" w:hanging="360"/>
      </w:pPr>
      <w:rPr>
        <w:rFonts w:ascii="Symbol" w:hAnsi="Symbol" w:hint="default"/>
      </w:rPr>
    </w:lvl>
    <w:lvl w:ilvl="4" w:tplc="F70E96AE">
      <w:start w:val="1"/>
      <w:numFmt w:val="bullet"/>
      <w:lvlText w:val="o"/>
      <w:lvlJc w:val="left"/>
      <w:pPr>
        <w:ind w:left="3600" w:hanging="360"/>
      </w:pPr>
      <w:rPr>
        <w:rFonts w:ascii="Courier New" w:hAnsi="Courier New" w:cs="Times New Roman" w:hint="default"/>
      </w:rPr>
    </w:lvl>
    <w:lvl w:ilvl="5" w:tplc="17CADE70">
      <w:start w:val="1"/>
      <w:numFmt w:val="bullet"/>
      <w:lvlText w:val=""/>
      <w:lvlJc w:val="left"/>
      <w:pPr>
        <w:ind w:left="4320" w:hanging="360"/>
      </w:pPr>
      <w:rPr>
        <w:rFonts w:ascii="Wingdings" w:hAnsi="Wingdings" w:hint="default"/>
      </w:rPr>
    </w:lvl>
    <w:lvl w:ilvl="6" w:tplc="EE22396A">
      <w:start w:val="1"/>
      <w:numFmt w:val="bullet"/>
      <w:lvlText w:val=""/>
      <w:lvlJc w:val="left"/>
      <w:pPr>
        <w:ind w:left="5040" w:hanging="360"/>
      </w:pPr>
      <w:rPr>
        <w:rFonts w:ascii="Symbol" w:hAnsi="Symbol" w:hint="default"/>
      </w:rPr>
    </w:lvl>
    <w:lvl w:ilvl="7" w:tplc="21123AC6">
      <w:start w:val="1"/>
      <w:numFmt w:val="bullet"/>
      <w:lvlText w:val="o"/>
      <w:lvlJc w:val="left"/>
      <w:pPr>
        <w:ind w:left="5760" w:hanging="360"/>
      </w:pPr>
      <w:rPr>
        <w:rFonts w:ascii="Courier New" w:hAnsi="Courier New" w:cs="Times New Roman" w:hint="default"/>
      </w:rPr>
    </w:lvl>
    <w:lvl w:ilvl="8" w:tplc="251C0FF6">
      <w:start w:val="1"/>
      <w:numFmt w:val="bullet"/>
      <w:lvlText w:val=""/>
      <w:lvlJc w:val="left"/>
      <w:pPr>
        <w:ind w:left="6480" w:hanging="360"/>
      </w:pPr>
      <w:rPr>
        <w:rFonts w:ascii="Wingdings" w:hAnsi="Wingdings" w:hint="default"/>
      </w:rPr>
    </w:lvl>
  </w:abstractNum>
  <w:abstractNum w:abstractNumId="4"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5C5B2E"/>
    <w:multiLevelType w:val="hybridMultilevel"/>
    <w:tmpl w:val="956A8A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9" w15:restartNumberingAfterBreak="0">
    <w:nsid w:val="78B3FCC5"/>
    <w:multiLevelType w:val="hybridMultilevel"/>
    <w:tmpl w:val="270E9E4C"/>
    <w:lvl w:ilvl="0" w:tplc="59FA5114">
      <w:start w:val="1"/>
      <w:numFmt w:val="decimal"/>
      <w:lvlText w:val="%1."/>
      <w:lvlJc w:val="left"/>
      <w:pPr>
        <w:ind w:left="720" w:hanging="360"/>
      </w:pPr>
    </w:lvl>
    <w:lvl w:ilvl="1" w:tplc="06A8A9DA">
      <w:start w:val="1"/>
      <w:numFmt w:val="lowerLetter"/>
      <w:lvlText w:val="%2."/>
      <w:lvlJc w:val="left"/>
      <w:pPr>
        <w:ind w:left="1440" w:hanging="360"/>
      </w:pPr>
    </w:lvl>
    <w:lvl w:ilvl="2" w:tplc="85F694EA">
      <w:start w:val="1"/>
      <w:numFmt w:val="lowerRoman"/>
      <w:lvlText w:val="%3."/>
      <w:lvlJc w:val="right"/>
      <w:pPr>
        <w:ind w:left="2160" w:hanging="180"/>
      </w:pPr>
    </w:lvl>
    <w:lvl w:ilvl="3" w:tplc="394C790C">
      <w:start w:val="1"/>
      <w:numFmt w:val="decimal"/>
      <w:lvlText w:val="%4."/>
      <w:lvlJc w:val="left"/>
      <w:pPr>
        <w:ind w:left="2880" w:hanging="360"/>
      </w:pPr>
    </w:lvl>
    <w:lvl w:ilvl="4" w:tplc="23A86C9A">
      <w:start w:val="1"/>
      <w:numFmt w:val="lowerLetter"/>
      <w:lvlText w:val="%5."/>
      <w:lvlJc w:val="left"/>
      <w:pPr>
        <w:ind w:left="3600" w:hanging="360"/>
      </w:pPr>
    </w:lvl>
    <w:lvl w:ilvl="5" w:tplc="B066DCBE">
      <w:start w:val="1"/>
      <w:numFmt w:val="lowerRoman"/>
      <w:lvlText w:val="%6."/>
      <w:lvlJc w:val="right"/>
      <w:pPr>
        <w:ind w:left="4320" w:hanging="180"/>
      </w:pPr>
    </w:lvl>
    <w:lvl w:ilvl="6" w:tplc="E9E80D08">
      <w:start w:val="1"/>
      <w:numFmt w:val="decimal"/>
      <w:lvlText w:val="%7."/>
      <w:lvlJc w:val="left"/>
      <w:pPr>
        <w:ind w:left="5040" w:hanging="360"/>
      </w:pPr>
    </w:lvl>
    <w:lvl w:ilvl="7" w:tplc="4546228C">
      <w:start w:val="1"/>
      <w:numFmt w:val="lowerLetter"/>
      <w:lvlText w:val="%8."/>
      <w:lvlJc w:val="left"/>
      <w:pPr>
        <w:ind w:left="5760" w:hanging="360"/>
      </w:pPr>
    </w:lvl>
    <w:lvl w:ilvl="8" w:tplc="B9600C96">
      <w:start w:val="1"/>
      <w:numFmt w:val="lowerRoman"/>
      <w:lvlText w:val="%9."/>
      <w:lvlJc w:val="right"/>
      <w:pPr>
        <w:ind w:left="6480" w:hanging="180"/>
      </w:pPr>
    </w:lvl>
  </w:abstractNum>
  <w:abstractNum w:abstractNumId="10" w15:restartNumberingAfterBreak="0">
    <w:nsid w:val="7BE67C0D"/>
    <w:multiLevelType w:val="hybridMultilevel"/>
    <w:tmpl w:val="CA300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4386149">
    <w:abstractNumId w:val="8"/>
  </w:num>
  <w:num w:numId="2" w16cid:durableId="2047220426">
    <w:abstractNumId w:val="1"/>
  </w:num>
  <w:num w:numId="3" w16cid:durableId="1318267991">
    <w:abstractNumId w:val="1"/>
  </w:num>
  <w:num w:numId="4" w16cid:durableId="311493990">
    <w:abstractNumId w:val="1"/>
  </w:num>
  <w:num w:numId="5" w16cid:durableId="2088645941">
    <w:abstractNumId w:val="1"/>
  </w:num>
  <w:num w:numId="6" w16cid:durableId="1678651820">
    <w:abstractNumId w:val="1"/>
  </w:num>
  <w:num w:numId="7" w16cid:durableId="1377969803">
    <w:abstractNumId w:val="1"/>
  </w:num>
  <w:num w:numId="8" w16cid:durableId="1523133639">
    <w:abstractNumId w:val="1"/>
  </w:num>
  <w:num w:numId="9" w16cid:durableId="741952476">
    <w:abstractNumId w:val="1"/>
  </w:num>
  <w:num w:numId="10" w16cid:durableId="1049722689">
    <w:abstractNumId w:val="1"/>
  </w:num>
  <w:num w:numId="11" w16cid:durableId="1717000414">
    <w:abstractNumId w:val="1"/>
  </w:num>
  <w:num w:numId="12" w16cid:durableId="2120253258">
    <w:abstractNumId w:val="5"/>
  </w:num>
  <w:num w:numId="13" w16cid:durableId="469250673">
    <w:abstractNumId w:val="7"/>
  </w:num>
  <w:num w:numId="14" w16cid:durableId="611321178">
    <w:abstractNumId w:val="4"/>
  </w:num>
  <w:num w:numId="15" w16cid:durableId="270861092">
    <w:abstractNumId w:val="3"/>
  </w:num>
  <w:num w:numId="16" w16cid:durableId="1317029265">
    <w:abstractNumId w:val="10"/>
  </w:num>
  <w:num w:numId="17" w16cid:durableId="211044469">
    <w:abstractNumId w:val="6"/>
  </w:num>
  <w:num w:numId="18" w16cid:durableId="1583834319">
    <w:abstractNumId w:val="2"/>
  </w:num>
  <w:num w:numId="19" w16cid:durableId="381712388">
    <w:abstractNumId w:val="9"/>
  </w:num>
  <w:num w:numId="20" w16cid:durableId="104153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9E9"/>
    <w:rsid w:val="000205E3"/>
    <w:rsid w:val="00061876"/>
    <w:rsid w:val="0009082D"/>
    <w:rsid w:val="0009252E"/>
    <w:rsid w:val="000B6948"/>
    <w:rsid w:val="000E16C9"/>
    <w:rsid w:val="000E2EA2"/>
    <w:rsid w:val="000F1110"/>
    <w:rsid w:val="000F14AC"/>
    <w:rsid w:val="00103AB5"/>
    <w:rsid w:val="00104ABD"/>
    <w:rsid w:val="001101DC"/>
    <w:rsid w:val="00140F78"/>
    <w:rsid w:val="001671F0"/>
    <w:rsid w:val="0018187C"/>
    <w:rsid w:val="001C0111"/>
    <w:rsid w:val="001F43ED"/>
    <w:rsid w:val="002112BA"/>
    <w:rsid w:val="00216002"/>
    <w:rsid w:val="00241CA7"/>
    <w:rsid w:val="002650EA"/>
    <w:rsid w:val="00273620"/>
    <w:rsid w:val="002A504A"/>
    <w:rsid w:val="002B3A1E"/>
    <w:rsid w:val="002D7947"/>
    <w:rsid w:val="002E2064"/>
    <w:rsid w:val="002F4DE0"/>
    <w:rsid w:val="003246A1"/>
    <w:rsid w:val="00335CA7"/>
    <w:rsid w:val="00347EE6"/>
    <w:rsid w:val="00355CAF"/>
    <w:rsid w:val="0035610B"/>
    <w:rsid w:val="003C61D1"/>
    <w:rsid w:val="003C6E58"/>
    <w:rsid w:val="003D6AD1"/>
    <w:rsid w:val="003E5F3B"/>
    <w:rsid w:val="004111E3"/>
    <w:rsid w:val="00411DBF"/>
    <w:rsid w:val="00417516"/>
    <w:rsid w:val="0042490E"/>
    <w:rsid w:val="00443DC9"/>
    <w:rsid w:val="00450313"/>
    <w:rsid w:val="004512EF"/>
    <w:rsid w:val="00452055"/>
    <w:rsid w:val="004706EB"/>
    <w:rsid w:val="00480960"/>
    <w:rsid w:val="004907EB"/>
    <w:rsid w:val="004B0581"/>
    <w:rsid w:val="004B3C1F"/>
    <w:rsid w:val="004D1111"/>
    <w:rsid w:val="004F6CA9"/>
    <w:rsid w:val="005026C5"/>
    <w:rsid w:val="0050353B"/>
    <w:rsid w:val="0050372F"/>
    <w:rsid w:val="00504AE0"/>
    <w:rsid w:val="0051617B"/>
    <w:rsid w:val="00517A33"/>
    <w:rsid w:val="0052261E"/>
    <w:rsid w:val="005551C0"/>
    <w:rsid w:val="005815CB"/>
    <w:rsid w:val="005B0DAB"/>
    <w:rsid w:val="005B7F4B"/>
    <w:rsid w:val="005C2A55"/>
    <w:rsid w:val="005E4FE2"/>
    <w:rsid w:val="00600859"/>
    <w:rsid w:val="00601BFA"/>
    <w:rsid w:val="00602B2D"/>
    <w:rsid w:val="006217DA"/>
    <w:rsid w:val="00646F44"/>
    <w:rsid w:val="00655187"/>
    <w:rsid w:val="006811C6"/>
    <w:rsid w:val="006A27D5"/>
    <w:rsid w:val="006A75BB"/>
    <w:rsid w:val="006B2882"/>
    <w:rsid w:val="006B4215"/>
    <w:rsid w:val="006B552E"/>
    <w:rsid w:val="006B6B2C"/>
    <w:rsid w:val="006C0F91"/>
    <w:rsid w:val="006C3066"/>
    <w:rsid w:val="006E44D7"/>
    <w:rsid w:val="00703127"/>
    <w:rsid w:val="007061B7"/>
    <w:rsid w:val="00715392"/>
    <w:rsid w:val="0072597C"/>
    <w:rsid w:val="00743020"/>
    <w:rsid w:val="00757DA7"/>
    <w:rsid w:val="0077401E"/>
    <w:rsid w:val="007764D3"/>
    <w:rsid w:val="007A4012"/>
    <w:rsid w:val="007A4B77"/>
    <w:rsid w:val="007B5BA4"/>
    <w:rsid w:val="007C01C8"/>
    <w:rsid w:val="007D62DA"/>
    <w:rsid w:val="00816788"/>
    <w:rsid w:val="0081745E"/>
    <w:rsid w:val="008C1F1C"/>
    <w:rsid w:val="008D3F00"/>
    <w:rsid w:val="008E36D6"/>
    <w:rsid w:val="008F7FDF"/>
    <w:rsid w:val="00902E70"/>
    <w:rsid w:val="00916343"/>
    <w:rsid w:val="00917E95"/>
    <w:rsid w:val="00925945"/>
    <w:rsid w:val="0093524D"/>
    <w:rsid w:val="0094391A"/>
    <w:rsid w:val="00971CB3"/>
    <w:rsid w:val="00982C83"/>
    <w:rsid w:val="009852F2"/>
    <w:rsid w:val="00994165"/>
    <w:rsid w:val="009E48CE"/>
    <w:rsid w:val="009E5873"/>
    <w:rsid w:val="009F4206"/>
    <w:rsid w:val="00A110C6"/>
    <w:rsid w:val="00A82F79"/>
    <w:rsid w:val="00A930F6"/>
    <w:rsid w:val="00A94F4D"/>
    <w:rsid w:val="00AC41C7"/>
    <w:rsid w:val="00AE499B"/>
    <w:rsid w:val="00AE4DA6"/>
    <w:rsid w:val="00AF3549"/>
    <w:rsid w:val="00B113A1"/>
    <w:rsid w:val="00B30B3B"/>
    <w:rsid w:val="00B40DA3"/>
    <w:rsid w:val="00B5345D"/>
    <w:rsid w:val="00B57A89"/>
    <w:rsid w:val="00B747E9"/>
    <w:rsid w:val="00B91F87"/>
    <w:rsid w:val="00BA0BD4"/>
    <w:rsid w:val="00BB38AA"/>
    <w:rsid w:val="00C02C77"/>
    <w:rsid w:val="00C12749"/>
    <w:rsid w:val="00C144BC"/>
    <w:rsid w:val="00C726C0"/>
    <w:rsid w:val="00C949C1"/>
    <w:rsid w:val="00C96098"/>
    <w:rsid w:val="00CC0CB6"/>
    <w:rsid w:val="00CF2A7D"/>
    <w:rsid w:val="00CF721B"/>
    <w:rsid w:val="00CF7EE0"/>
    <w:rsid w:val="00D03D48"/>
    <w:rsid w:val="00D04BD7"/>
    <w:rsid w:val="00D108B8"/>
    <w:rsid w:val="00D13E6B"/>
    <w:rsid w:val="00D26DFC"/>
    <w:rsid w:val="00D37B37"/>
    <w:rsid w:val="00D4544A"/>
    <w:rsid w:val="00D47731"/>
    <w:rsid w:val="00D72701"/>
    <w:rsid w:val="00DA5AB0"/>
    <w:rsid w:val="00DB1BA9"/>
    <w:rsid w:val="00DB64BF"/>
    <w:rsid w:val="00DD1C02"/>
    <w:rsid w:val="00DD3B26"/>
    <w:rsid w:val="00DE0648"/>
    <w:rsid w:val="00E03A99"/>
    <w:rsid w:val="00E32F49"/>
    <w:rsid w:val="00E34A88"/>
    <w:rsid w:val="00E55770"/>
    <w:rsid w:val="00E65775"/>
    <w:rsid w:val="00E72CAD"/>
    <w:rsid w:val="00E96E1E"/>
    <w:rsid w:val="00EA1932"/>
    <w:rsid w:val="00EC5CA9"/>
    <w:rsid w:val="00ED526C"/>
    <w:rsid w:val="00ED5A71"/>
    <w:rsid w:val="00EE25F0"/>
    <w:rsid w:val="00EF483A"/>
    <w:rsid w:val="00EF6865"/>
    <w:rsid w:val="00F06AA1"/>
    <w:rsid w:val="00F119E9"/>
    <w:rsid w:val="00F244EA"/>
    <w:rsid w:val="00F314B3"/>
    <w:rsid w:val="00F32EC8"/>
    <w:rsid w:val="00F50315"/>
    <w:rsid w:val="00F52B65"/>
    <w:rsid w:val="00F672B8"/>
    <w:rsid w:val="00F71946"/>
    <w:rsid w:val="00F80504"/>
    <w:rsid w:val="00F9163F"/>
    <w:rsid w:val="00F95FA6"/>
    <w:rsid w:val="00FA1F0A"/>
    <w:rsid w:val="00FA3CE2"/>
    <w:rsid w:val="00FB094A"/>
    <w:rsid w:val="00FC25CF"/>
    <w:rsid w:val="00FE3DB1"/>
    <w:rsid w:val="00FF4101"/>
    <w:rsid w:val="10ED2E7D"/>
    <w:rsid w:val="38C25837"/>
    <w:rsid w:val="414FD016"/>
    <w:rsid w:val="42BC4515"/>
    <w:rsid w:val="5929B818"/>
    <w:rsid w:val="6587E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41DB1C"/>
  <w15:chartTrackingRefBased/>
  <w15:docId w15:val="{DAE3385B-F356-4F97-BEC7-92E935DA9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9E9"/>
    <w:pPr>
      <w:spacing w:after="160" w:line="256" w:lineRule="auto"/>
    </w:pPr>
    <w:rPr>
      <w:rFonts w:asciiTheme="minorHAnsi" w:eastAsiaTheme="minorHAnsi" w:hAnsiTheme="minorHAnsi" w:cstheme="minorBidi"/>
      <w:sz w:val="22"/>
      <w:szCs w:val="22"/>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style>
  <w:style w:type="paragraph" w:styleId="Heading6">
    <w:name w:val="heading 6"/>
    <w:basedOn w:val="Normal"/>
    <w:next w:val="Normal"/>
    <w:qFormat/>
    <w:pPr>
      <w:spacing w:before="240" w:after="60"/>
      <w:outlineLvl w:val="5"/>
    </w:pPr>
    <w:rPr>
      <w:rFonts w:ascii="Times New Roman" w:hAnsi="Times New Roman"/>
      <w:i/>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basedOn w:val="Normal"/>
    <w:uiPriority w:val="34"/>
    <w:qFormat/>
    <w:rsid w:val="00F119E9"/>
    <w:pPr>
      <w:ind w:left="720"/>
      <w:contextualSpacing/>
    </w:pPr>
  </w:style>
  <w:style w:type="paragraph" w:styleId="Revision">
    <w:name w:val="Revision"/>
    <w:hidden/>
    <w:uiPriority w:val="99"/>
    <w:semiHidden/>
    <w:rsid w:val="002B3A1E"/>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7D62DA"/>
    <w:rPr>
      <w:color w:val="605E5C"/>
      <w:shd w:val="clear" w:color="auto" w:fill="E1DFDD"/>
    </w:rPr>
  </w:style>
  <w:style w:type="paragraph" w:customStyle="1" w:styleId="pf0">
    <w:name w:val="pf0"/>
    <w:basedOn w:val="Normal"/>
    <w:rsid w:val="00902E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902E7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708115">
      <w:bodyDiv w:val="1"/>
      <w:marLeft w:val="0"/>
      <w:marRight w:val="0"/>
      <w:marTop w:val="0"/>
      <w:marBottom w:val="0"/>
      <w:divBdr>
        <w:top w:val="none" w:sz="0" w:space="0" w:color="auto"/>
        <w:left w:val="none" w:sz="0" w:space="0" w:color="auto"/>
        <w:bottom w:val="none" w:sz="0" w:space="0" w:color="auto"/>
        <w:right w:val="none" w:sz="0" w:space="0" w:color="auto"/>
      </w:divBdr>
    </w:div>
    <w:div w:id="114343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scouncil.org.uk/lets-create" TargetMode="External"/><Relationship Id="rId13" Type="http://schemas.openxmlformats.org/officeDocument/2006/relationships/hyperlink" Target="https://www.artscouncil.org.uk/ProjectGrants/project-grants-information-sheets?query=place&amp;sort_by=tit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tscouncil.org.uk/ProjectGrants/project-grants-information-sheets?query=significant&amp;sort_by=titl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tscouncil.org.uk/your-area/place-based-peer-learning-program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rtscouncil.org.uk/creative-people-and-places-0" TargetMode="External"/><Relationship Id="rId4" Type="http://schemas.openxmlformats.org/officeDocument/2006/relationships/settings" Target="settings.xml"/><Relationship Id="rId9" Type="http://schemas.openxmlformats.org/officeDocument/2006/relationships/hyperlink" Target="https://www.artscouncil.org.uk/2023-26-Investment-Programme" TargetMode="External"/><Relationship Id="rId14" Type="http://schemas.openxmlformats.org/officeDocument/2006/relationships/hyperlink" Target="https://www.artscouncil.org.uk/lets-create/strategy-2020-2030/investment-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44DD6-3811-476A-BAB9-69188F0A1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1378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Green</dc:creator>
  <cp:keywords/>
  <dc:description/>
  <cp:lastModifiedBy>Sophia Ronketti</cp:lastModifiedBy>
  <cp:revision>13</cp:revision>
  <cp:lastPrinted>1998-09-28T15:30:00Z</cp:lastPrinted>
  <dcterms:created xsi:type="dcterms:W3CDTF">2023-05-10T10:37:00Z</dcterms:created>
  <dcterms:modified xsi:type="dcterms:W3CDTF">2023-05-10T14:06:00Z</dcterms:modified>
</cp:coreProperties>
</file>