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A94F" w14:textId="1D5EFBC7" w:rsidR="004B1187" w:rsidRPr="004C5965" w:rsidRDefault="004C5965">
      <w:pPr>
        <w:rPr>
          <w:rFonts w:ascii="Georgia" w:hAnsi="Georgia"/>
          <w:b/>
          <w:bCs/>
          <w:sz w:val="32"/>
          <w:szCs w:val="32"/>
        </w:rPr>
      </w:pPr>
      <w:r w:rsidRPr="004C5965">
        <w:rPr>
          <w:rFonts w:ascii="Georgia" w:hAnsi="Georgia"/>
          <w:b/>
          <w:bCs/>
          <w:sz w:val="32"/>
          <w:szCs w:val="32"/>
        </w:rPr>
        <w:t>Impact &amp; Insight Toolkit</w:t>
      </w:r>
      <w:r w:rsidRPr="004C5965">
        <w:rPr>
          <w:rFonts w:ascii="Georgia" w:hAnsi="Georgia"/>
          <w:b/>
          <w:bCs/>
          <w:sz w:val="32"/>
          <w:szCs w:val="32"/>
        </w:rPr>
        <w:t xml:space="preserve"> funding conditions 2020-21 guidance</w:t>
      </w:r>
    </w:p>
    <w:p w14:paraId="31F46757" w14:textId="77777777" w:rsidR="004B1187" w:rsidRPr="000826D8" w:rsidRDefault="004B1187">
      <w:pPr>
        <w:rPr>
          <w:rFonts w:ascii="Georgia" w:hAnsi="Georgia"/>
        </w:rPr>
      </w:pPr>
    </w:p>
    <w:p w14:paraId="082D3413" w14:textId="6E18B289" w:rsidR="004B1187" w:rsidRDefault="004B1187">
      <w:pPr>
        <w:rPr>
          <w:rFonts w:ascii="Georgia" w:hAnsi="Georgia"/>
          <w:b/>
          <w:bCs/>
        </w:rPr>
      </w:pPr>
      <w:bookmarkStart w:id="0" w:name="_Hlk47096605"/>
      <w:r w:rsidRPr="00411D59">
        <w:rPr>
          <w:rFonts w:ascii="Georgia" w:hAnsi="Georgia"/>
          <w:b/>
          <w:bCs/>
        </w:rPr>
        <w:t xml:space="preserve">Overview of funding conditions  </w:t>
      </w:r>
    </w:p>
    <w:p w14:paraId="448634F8" w14:textId="77777777" w:rsidR="00826E2C" w:rsidRPr="00411D59" w:rsidRDefault="00826E2C">
      <w:pPr>
        <w:rPr>
          <w:rFonts w:ascii="Georgia" w:hAnsi="Georgia"/>
          <w:b/>
          <w:bCs/>
        </w:rPr>
      </w:pPr>
    </w:p>
    <w:bookmarkEnd w:id="0"/>
    <w:p w14:paraId="2057A57C" w14:textId="66EADB6D" w:rsidR="00172EEE" w:rsidRPr="000826D8" w:rsidRDefault="00172EEE" w:rsidP="00EB67FE">
      <w:pPr>
        <w:rPr>
          <w:rFonts w:ascii="Georgia" w:hAnsi="Georgia"/>
        </w:rPr>
      </w:pPr>
      <w:r w:rsidRPr="000826D8">
        <w:rPr>
          <w:rFonts w:ascii="Georgia" w:hAnsi="Georgia"/>
        </w:rPr>
        <w:t xml:space="preserve">After relaxing funding conditions for NPOs in March 2020, we will be reinstating our requirements for the Impact &amp; Insight Toolkit. </w:t>
      </w:r>
    </w:p>
    <w:p w14:paraId="52BACE37" w14:textId="77777777" w:rsidR="00172EEE" w:rsidRPr="000826D8" w:rsidRDefault="00172EEE" w:rsidP="00EB67FE">
      <w:pPr>
        <w:rPr>
          <w:rFonts w:ascii="Georgia" w:hAnsi="Georgia"/>
        </w:rPr>
      </w:pPr>
    </w:p>
    <w:p w14:paraId="0A067670" w14:textId="5D7453AC" w:rsidR="00EB67FE" w:rsidRPr="000826D8" w:rsidRDefault="00EB67FE" w:rsidP="00EB67FE">
      <w:pPr>
        <w:rPr>
          <w:rFonts w:ascii="Georgia" w:hAnsi="Georgia"/>
        </w:rPr>
      </w:pPr>
      <w:r w:rsidRPr="000826D8">
        <w:rPr>
          <w:rFonts w:ascii="Georgia" w:hAnsi="Georgia"/>
        </w:rPr>
        <w:t>NPO funding agreements require Band 2 and 3 NPOs to carry out at least four evaluations using the Impact &amp; Insight Toolkit each year, and to provide peer reviews for other NPOs. Band 2 and 3 NPOs are required to share findings with their Relationship Man</w:t>
      </w:r>
      <w:bookmarkStart w:id="1" w:name="_GoBack"/>
      <w:bookmarkEnd w:id="1"/>
      <w:r w:rsidRPr="000826D8">
        <w:rPr>
          <w:rFonts w:ascii="Georgia" w:hAnsi="Georgia"/>
        </w:rPr>
        <w:t xml:space="preserve">ager within one month of the evaluation completing using the insights report function. Additionally, in the month of July for each evaluation year, band 2 and 3 NPOs must submit a summary report using the summary report function. </w:t>
      </w:r>
    </w:p>
    <w:p w14:paraId="79E330D8" w14:textId="77777777" w:rsidR="00EB67FE" w:rsidRPr="000826D8" w:rsidRDefault="00EB67FE" w:rsidP="00EB67FE">
      <w:pPr>
        <w:rPr>
          <w:rFonts w:ascii="Georgia" w:hAnsi="Georgia"/>
        </w:rPr>
      </w:pPr>
    </w:p>
    <w:p w14:paraId="21F915E2" w14:textId="43EBA18F" w:rsidR="004B1187" w:rsidRPr="000826D8" w:rsidRDefault="00EB67FE" w:rsidP="00EB67FE">
      <w:pPr>
        <w:rPr>
          <w:rFonts w:ascii="Georgia" w:hAnsi="Georgia"/>
        </w:rPr>
      </w:pPr>
      <w:r w:rsidRPr="000826D8">
        <w:rPr>
          <w:rFonts w:ascii="Georgia" w:hAnsi="Georgia"/>
        </w:rPr>
        <w:t xml:space="preserve">Band 1 NPOs and </w:t>
      </w:r>
      <w:r w:rsidR="00670AB3">
        <w:rPr>
          <w:rFonts w:ascii="Georgia" w:hAnsi="Georgia"/>
        </w:rPr>
        <w:t>SSO</w:t>
      </w:r>
      <w:r w:rsidR="00670AB3" w:rsidRPr="000826D8">
        <w:rPr>
          <w:rFonts w:ascii="Georgia" w:hAnsi="Georgia"/>
        </w:rPr>
        <w:t xml:space="preserve">s </w:t>
      </w:r>
      <w:r w:rsidRPr="000826D8">
        <w:rPr>
          <w:rFonts w:ascii="Georgia" w:hAnsi="Georgia"/>
        </w:rPr>
        <w:t xml:space="preserve">that choose to use the Impact &amp; Insight Toolkit should also adhere to these basic standards for any evaluations they agree to share with their Relationship Manager. Please refer to the </w:t>
      </w:r>
      <w:hyperlink r:id="rId4" w:history="1">
        <w:r w:rsidRPr="00670AB3">
          <w:rPr>
            <w:rStyle w:val="Hyperlink"/>
            <w:rFonts w:ascii="Georgia" w:hAnsi="Georgia"/>
          </w:rPr>
          <w:t>guidance documents</w:t>
        </w:r>
      </w:hyperlink>
      <w:r w:rsidRPr="000826D8">
        <w:rPr>
          <w:rFonts w:ascii="Georgia" w:hAnsi="Georgia"/>
        </w:rPr>
        <w:t xml:space="preserve"> available for tips and advice for carrying our evaluations.</w:t>
      </w:r>
    </w:p>
    <w:p w14:paraId="6BC94D79" w14:textId="77777777" w:rsidR="00C63154" w:rsidRPr="000826D8" w:rsidRDefault="00C63154">
      <w:pPr>
        <w:rPr>
          <w:rFonts w:ascii="Georgia" w:hAnsi="Georgia"/>
        </w:rPr>
      </w:pPr>
    </w:p>
    <w:p w14:paraId="24AE1B03" w14:textId="5807466A" w:rsidR="004B1187" w:rsidRDefault="00C85AF0">
      <w:pPr>
        <w:rPr>
          <w:rFonts w:ascii="Georgia" w:hAnsi="Georgia"/>
          <w:b/>
          <w:bCs/>
        </w:rPr>
      </w:pPr>
      <w:r w:rsidRPr="00411D59">
        <w:rPr>
          <w:rFonts w:ascii="Georgia" w:hAnsi="Georgia"/>
          <w:b/>
          <w:bCs/>
        </w:rPr>
        <w:t>What do we expect?</w:t>
      </w:r>
    </w:p>
    <w:p w14:paraId="2A252567" w14:textId="77777777" w:rsidR="00826E2C" w:rsidRPr="000826D8" w:rsidRDefault="00826E2C">
      <w:pPr>
        <w:rPr>
          <w:rFonts w:ascii="Georgia" w:hAnsi="Georgia"/>
        </w:rPr>
      </w:pPr>
    </w:p>
    <w:p w14:paraId="2832E9C1" w14:textId="663E5166" w:rsidR="00AF5793" w:rsidRPr="000826D8" w:rsidRDefault="00C63154" w:rsidP="003047C2">
      <w:pPr>
        <w:rPr>
          <w:rFonts w:ascii="Georgia" w:eastAsia="Times New Roman" w:hAnsi="Georgia" w:cs="Calibri"/>
          <w:color w:val="000000"/>
          <w:lang w:eastAsia="en-GB"/>
        </w:rPr>
      </w:pPr>
      <w:bookmarkStart w:id="2" w:name="_Hlk47078222"/>
      <w:r w:rsidRPr="000826D8">
        <w:rPr>
          <w:rFonts w:ascii="Georgia" w:eastAsia="Times New Roman" w:hAnsi="Georgia" w:cs="Calibri"/>
          <w:color w:val="000000"/>
          <w:lang w:eastAsia="en-GB"/>
        </w:rPr>
        <w:t xml:space="preserve">We understand it may be difficult for some </w:t>
      </w:r>
      <w:r w:rsidR="00EB67FE" w:rsidRPr="000826D8">
        <w:rPr>
          <w:rFonts w:ascii="Georgia" w:eastAsia="Times New Roman" w:hAnsi="Georgia" w:cs="Calibri"/>
          <w:color w:val="000000"/>
          <w:lang w:eastAsia="en-GB"/>
        </w:rPr>
        <w:t>NPOs</w:t>
      </w: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 to complete four Impact &amp; Insight Toolkit evaluations</w:t>
      </w:r>
      <w:r w:rsidR="00EB67FE" w:rsidRPr="000826D8">
        <w:rPr>
          <w:rFonts w:ascii="Georgia" w:eastAsia="Times New Roman" w:hAnsi="Georgia" w:cs="Calibri"/>
          <w:color w:val="000000"/>
          <w:lang w:eastAsia="en-GB"/>
        </w:rPr>
        <w:t xml:space="preserve"> in 2020/21</w:t>
      </w: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 as per the mandatory evaluation guidance.</w:t>
      </w:r>
      <w:r w:rsidR="00EB67FE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="00C85AF0" w:rsidRPr="000826D8">
        <w:rPr>
          <w:rFonts w:ascii="Georgia" w:eastAsia="Times New Roman" w:hAnsi="Georgia" w:cs="Calibri"/>
          <w:color w:val="000000"/>
          <w:lang w:eastAsia="en-GB"/>
        </w:rPr>
        <w:t xml:space="preserve">Arts Council England </w:t>
      </w:r>
      <w:r w:rsidR="003047C2" w:rsidRPr="000826D8">
        <w:rPr>
          <w:rFonts w:ascii="Georgia" w:eastAsia="Times New Roman" w:hAnsi="Georgia" w:cs="Calibri"/>
          <w:color w:val="000000"/>
          <w:lang w:eastAsia="en-GB"/>
        </w:rPr>
        <w:t>and C</w:t>
      </w:r>
      <w:r w:rsidR="00C85AF0" w:rsidRPr="000826D8">
        <w:rPr>
          <w:rFonts w:ascii="Georgia" w:eastAsia="Times New Roman" w:hAnsi="Georgia" w:cs="Calibri"/>
          <w:color w:val="000000"/>
          <w:lang w:eastAsia="en-GB"/>
        </w:rPr>
        <w:t>ounting What Counts</w:t>
      </w:r>
      <w:r w:rsidR="003047C2" w:rsidRPr="000826D8">
        <w:rPr>
          <w:rFonts w:ascii="Georgia" w:eastAsia="Times New Roman" w:hAnsi="Georgia" w:cs="Calibri"/>
          <w:color w:val="000000"/>
          <w:lang w:eastAsia="en-GB"/>
        </w:rPr>
        <w:t xml:space="preserve"> recognise that collecting audience data </w:t>
      </w:r>
      <w:r w:rsidR="00172EEE" w:rsidRPr="000826D8">
        <w:rPr>
          <w:rFonts w:ascii="Georgia" w:eastAsia="Times New Roman" w:hAnsi="Georgia" w:cs="Calibri"/>
          <w:color w:val="000000"/>
          <w:lang w:eastAsia="en-GB"/>
        </w:rPr>
        <w:t xml:space="preserve">while </w:t>
      </w:r>
      <w:r w:rsidR="003047C2" w:rsidRPr="000826D8">
        <w:rPr>
          <w:rFonts w:ascii="Georgia" w:eastAsia="Times New Roman" w:hAnsi="Georgia" w:cs="Calibri"/>
          <w:color w:val="000000"/>
          <w:lang w:eastAsia="en-GB"/>
        </w:rPr>
        <w:t xml:space="preserve">social distancing measures are still in place may be challenging. The guiding principle is that NPOs should make the effort to gather as much audience data as they can. </w:t>
      </w:r>
    </w:p>
    <w:p w14:paraId="2544563C" w14:textId="77777777" w:rsidR="00AF5793" w:rsidRPr="000826D8" w:rsidRDefault="00AF5793" w:rsidP="00D6023B">
      <w:pPr>
        <w:rPr>
          <w:rFonts w:ascii="Georgia" w:eastAsia="Times New Roman" w:hAnsi="Georgia" w:cs="Calibri"/>
          <w:color w:val="000000"/>
          <w:lang w:eastAsia="en-GB"/>
        </w:rPr>
      </w:pPr>
    </w:p>
    <w:p w14:paraId="1EEF4E4F" w14:textId="675201BE" w:rsidR="00AF5793" w:rsidRPr="000826D8" w:rsidRDefault="003047C2" w:rsidP="00D6023B">
      <w:pPr>
        <w:rPr>
          <w:rFonts w:ascii="Georgia" w:eastAsia="Times New Roman" w:hAnsi="Georgia" w:cs="Calibri"/>
          <w:color w:val="000000"/>
          <w:lang w:eastAsia="en-GB"/>
        </w:rPr>
      </w:pPr>
      <w:r w:rsidRPr="000826D8">
        <w:rPr>
          <w:rFonts w:ascii="Georgia" w:eastAsia="Times New Roman" w:hAnsi="Georgia" w:cs="Calibri"/>
          <w:color w:val="000000"/>
          <w:lang w:eastAsia="en-GB"/>
        </w:rPr>
        <w:t>W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here 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>your programme allows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>, you should prioritise conducting at least 2 evaluations which adhere to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 the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 mandatory evaluation criteria, as detailed in the mandatory evaluation guidance (available </w:t>
      </w:r>
      <w:hyperlink r:id="rId5" w:history="1">
        <w:r w:rsidR="00C63154" w:rsidRPr="000826D8">
          <w:rPr>
            <w:rStyle w:val="Hyperlink"/>
            <w:rFonts w:ascii="Georgia" w:eastAsia="Times New Roman" w:hAnsi="Georgia" w:cs="Calibri"/>
            <w:lang w:eastAsia="en-GB"/>
          </w:rPr>
          <w:t>here</w:t>
        </w:r>
      </w:hyperlink>
      <w:r w:rsidR="00C63154" w:rsidRPr="000826D8">
        <w:rPr>
          <w:rFonts w:ascii="Georgia" w:eastAsia="Times New Roman" w:hAnsi="Georgia" w:cs="Calibri"/>
          <w:color w:val="000000"/>
          <w:lang w:eastAsia="en-GB"/>
        </w:rPr>
        <w:t>)</w:t>
      </w:r>
      <w:r w:rsidR="00786290" w:rsidRPr="000826D8">
        <w:rPr>
          <w:rFonts w:ascii="Georgia" w:eastAsia="Times New Roman" w:hAnsi="Georgia" w:cs="Calibri"/>
          <w:color w:val="000000"/>
          <w:lang w:eastAsia="en-GB"/>
        </w:rPr>
        <w:t>.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="00EB67FE" w:rsidRPr="000826D8">
        <w:rPr>
          <w:rFonts w:ascii="Georgia" w:eastAsia="Times New Roman" w:hAnsi="Georgia" w:cs="Calibri"/>
          <w:color w:val="000000"/>
          <w:lang w:eastAsia="en-GB"/>
        </w:rPr>
        <w:t>You should also, where possible and safe to do so, provide at least two peer reviews for other NPOs.</w:t>
      </w:r>
      <w:r w:rsidR="00AF5793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</w:p>
    <w:p w14:paraId="403EACA8" w14:textId="77777777" w:rsidR="00AF5793" w:rsidRPr="000826D8" w:rsidRDefault="00AF5793" w:rsidP="00D6023B">
      <w:pPr>
        <w:rPr>
          <w:rFonts w:ascii="Georgia" w:eastAsia="Times New Roman" w:hAnsi="Georgia" w:cs="Calibri"/>
          <w:color w:val="000000"/>
          <w:lang w:eastAsia="en-GB"/>
        </w:rPr>
      </w:pPr>
    </w:p>
    <w:p w14:paraId="032F8786" w14:textId="20ED87C6" w:rsidR="00D6023B" w:rsidRPr="000826D8" w:rsidRDefault="00D6023B" w:rsidP="00D6023B">
      <w:pPr>
        <w:rPr>
          <w:rFonts w:ascii="Georgia" w:eastAsia="Times New Roman" w:hAnsi="Georgia" w:cs="Calibri"/>
          <w:color w:val="000000"/>
          <w:lang w:eastAsia="en-GB"/>
        </w:rPr>
      </w:pP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You 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>should</w:t>
      </w: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>produce a</w:t>
      </w:r>
      <w:r w:rsidR="00EB67FE" w:rsidRPr="000826D8">
        <w:rPr>
          <w:rFonts w:ascii="Georgia" w:eastAsia="Times New Roman" w:hAnsi="Georgia" w:cs="Calibri"/>
          <w:color w:val="000000"/>
          <w:lang w:eastAsia="en-GB"/>
        </w:rPr>
        <w:t xml:space="preserve">n </w:t>
      </w:r>
      <w:hyperlink r:id="rId6" w:history="1">
        <w:r w:rsidR="00EB67FE" w:rsidRPr="000826D8">
          <w:rPr>
            <w:rStyle w:val="Hyperlink"/>
            <w:rFonts w:ascii="Georgia" w:eastAsia="Times New Roman" w:hAnsi="Georgia" w:cs="Calibri"/>
            <w:lang w:eastAsia="en-GB"/>
          </w:rPr>
          <w:t>insights</w:t>
        </w:r>
        <w:r w:rsidR="00271D55" w:rsidRPr="000826D8">
          <w:rPr>
            <w:rStyle w:val="Hyperlink"/>
            <w:rFonts w:ascii="Georgia" w:eastAsia="Times New Roman" w:hAnsi="Georgia" w:cs="Calibri"/>
            <w:lang w:eastAsia="en-GB"/>
          </w:rPr>
          <w:t xml:space="preserve"> </w:t>
        </w:r>
        <w:r w:rsidRPr="000826D8">
          <w:rPr>
            <w:rStyle w:val="Hyperlink"/>
            <w:rFonts w:ascii="Georgia" w:eastAsia="Times New Roman" w:hAnsi="Georgia" w:cs="Calibri"/>
            <w:lang w:eastAsia="en-GB"/>
          </w:rPr>
          <w:t>report</w:t>
        </w:r>
      </w:hyperlink>
      <w:r w:rsidRPr="000826D8">
        <w:rPr>
          <w:rFonts w:ascii="Georgia" w:eastAsia="Times New Roman" w:hAnsi="Georgia" w:cs="Calibri"/>
          <w:color w:val="000000"/>
          <w:lang w:eastAsia="en-GB"/>
        </w:rPr>
        <w:t xml:space="preserve"> on your findings within one month of </w:t>
      </w:r>
      <w:r w:rsidR="00EB67FE" w:rsidRPr="000826D8">
        <w:rPr>
          <w:rFonts w:ascii="Georgia" w:eastAsia="Times New Roman" w:hAnsi="Georgia" w:cs="Calibri"/>
          <w:color w:val="000000"/>
          <w:lang w:eastAsia="en-GB"/>
        </w:rPr>
        <w:t>each</w:t>
      </w: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 evaluation being completed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 and share it with your Relationship Manager.</w:t>
      </w:r>
      <w:r w:rsidR="00A06FC9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In July 2021 you will need to produce and upload to Grantium a </w:t>
      </w:r>
      <w:hyperlink r:id="rId7" w:history="1">
        <w:r w:rsidR="00271D55" w:rsidRPr="000E5623">
          <w:rPr>
            <w:rStyle w:val="Hyperlink"/>
            <w:rFonts w:ascii="Georgia" w:eastAsia="Times New Roman" w:hAnsi="Georgia" w:cs="Calibri"/>
            <w:lang w:eastAsia="en-GB"/>
          </w:rPr>
          <w:t>summary report</w:t>
        </w:r>
      </w:hyperlink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 of these evaluations.</w:t>
      </w:r>
    </w:p>
    <w:bookmarkEnd w:id="2"/>
    <w:p w14:paraId="516EC1D9" w14:textId="77777777" w:rsidR="00D6023B" w:rsidRPr="000826D8" w:rsidRDefault="00D6023B" w:rsidP="00C63154">
      <w:pPr>
        <w:rPr>
          <w:rFonts w:ascii="Georgia" w:eastAsia="Times New Roman" w:hAnsi="Georgia" w:cs="Calibri"/>
          <w:color w:val="000000"/>
          <w:lang w:eastAsia="en-GB"/>
        </w:rPr>
      </w:pPr>
    </w:p>
    <w:p w14:paraId="210F7515" w14:textId="65A51854" w:rsidR="00271D55" w:rsidRDefault="00172EEE" w:rsidP="00C63154">
      <w:pPr>
        <w:rPr>
          <w:rFonts w:ascii="Georgia" w:eastAsia="Times New Roman" w:hAnsi="Georgia" w:cs="Calibri"/>
          <w:b/>
          <w:bCs/>
          <w:color w:val="000000"/>
          <w:lang w:eastAsia="en-GB"/>
        </w:rPr>
      </w:pPr>
      <w:r w:rsidRPr="00826E2C">
        <w:rPr>
          <w:rFonts w:ascii="Georgia" w:eastAsia="Times New Roman" w:hAnsi="Georgia" w:cs="Calibri"/>
          <w:b/>
          <w:bCs/>
          <w:color w:val="000000"/>
          <w:lang w:eastAsia="en-GB"/>
        </w:rPr>
        <w:t xml:space="preserve">Adapting the Impact &amp; Insight Toolkit for Covid-19 </w:t>
      </w:r>
    </w:p>
    <w:p w14:paraId="09A347D4" w14:textId="77777777" w:rsidR="00826E2C" w:rsidRPr="00826E2C" w:rsidRDefault="00826E2C" w:rsidP="00C63154">
      <w:pPr>
        <w:rPr>
          <w:rFonts w:ascii="Georgia" w:eastAsia="Times New Roman" w:hAnsi="Georgia" w:cs="Calibri"/>
          <w:b/>
          <w:bCs/>
          <w:color w:val="000000"/>
          <w:lang w:eastAsia="en-GB"/>
        </w:rPr>
      </w:pPr>
    </w:p>
    <w:p w14:paraId="690B698A" w14:textId="66B1096E" w:rsidR="00C63154" w:rsidRPr="000826D8" w:rsidRDefault="00C85AF0" w:rsidP="00C63154">
      <w:pPr>
        <w:rPr>
          <w:rFonts w:ascii="Georgia" w:eastAsia="Times New Roman" w:hAnsi="Georgia" w:cs="Calibri"/>
          <w:color w:val="000000"/>
          <w:lang w:eastAsia="en-GB"/>
        </w:rPr>
      </w:pPr>
      <w:r w:rsidRPr="000826D8">
        <w:rPr>
          <w:rFonts w:ascii="Georgia" w:eastAsia="Times New Roman" w:hAnsi="Georgia" w:cs="Calibri"/>
          <w:color w:val="000000"/>
          <w:lang w:eastAsia="en-GB"/>
        </w:rPr>
        <w:t>You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>may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 xml:space="preserve"> also be considering a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>dditional evaluation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 xml:space="preserve"> activity,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 reflect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>ing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 how your programmes </w:t>
      </w:r>
      <w:r w:rsidRPr="000826D8">
        <w:rPr>
          <w:rFonts w:ascii="Georgia" w:eastAsia="Times New Roman" w:hAnsi="Georgia" w:cs="Calibri"/>
          <w:color w:val="000000"/>
          <w:lang w:eastAsia="en-GB"/>
        </w:rPr>
        <w:t>have changed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 this year</w:t>
      </w: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, such as 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using </w:t>
      </w:r>
      <w:r w:rsidRPr="000826D8">
        <w:rPr>
          <w:rFonts w:ascii="Georgia" w:eastAsia="Times New Roman" w:hAnsi="Georgia" w:cs="Calibri"/>
          <w:color w:val="000000"/>
          <w:lang w:eastAsia="en-GB"/>
        </w:rPr>
        <w:t>t</w:t>
      </w:r>
      <w:r w:rsidR="00A06FC9" w:rsidRPr="000826D8">
        <w:rPr>
          <w:rFonts w:ascii="Georgia" w:eastAsia="Times New Roman" w:hAnsi="Georgia" w:cs="Calibri"/>
          <w:color w:val="000000"/>
          <w:lang w:eastAsia="en-GB"/>
        </w:rPr>
        <w:t xml:space="preserve">he Toolkit’s </w:t>
      </w:r>
      <w:hyperlink r:id="rId8" w:history="1">
        <w:r w:rsidR="00C63154" w:rsidRPr="000826D8">
          <w:rPr>
            <w:rStyle w:val="Hyperlink"/>
            <w:rFonts w:ascii="Georgia" w:eastAsia="Times New Roman" w:hAnsi="Georgia" w:cs="Calibri"/>
            <w:lang w:eastAsia="en-GB"/>
          </w:rPr>
          <w:t>participatory dimensions</w:t>
        </w:r>
      </w:hyperlink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>or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 xml:space="preserve"> </w:t>
      </w:r>
      <w:r w:rsidRPr="000826D8">
        <w:rPr>
          <w:rFonts w:ascii="Georgia" w:eastAsia="Times New Roman" w:hAnsi="Georgia" w:cs="Calibri"/>
          <w:color w:val="000000"/>
          <w:lang w:eastAsia="en-GB"/>
        </w:rPr>
        <w:t xml:space="preserve">it’s </w:t>
      </w:r>
      <w:r w:rsidR="00C63154" w:rsidRPr="000826D8">
        <w:rPr>
          <w:rFonts w:ascii="Georgia" w:eastAsia="Times New Roman" w:hAnsi="Georgia" w:cs="Calibri"/>
          <w:color w:val="000000"/>
          <w:lang w:eastAsia="en-GB"/>
        </w:rPr>
        <w:t>‘</w:t>
      </w:r>
      <w:hyperlink r:id="rId9" w:history="1">
        <w:r w:rsidR="00C63154" w:rsidRPr="000826D8">
          <w:rPr>
            <w:rStyle w:val="Hyperlink"/>
            <w:rFonts w:ascii="Georgia" w:eastAsia="Times New Roman" w:hAnsi="Georgia" w:cs="Calibri"/>
            <w:lang w:eastAsia="en-GB"/>
          </w:rPr>
          <w:t xml:space="preserve">evaluation for online works’ </w:t>
        </w:r>
        <w:r w:rsidR="00A06FC9" w:rsidRPr="000826D8">
          <w:rPr>
            <w:rStyle w:val="Hyperlink"/>
            <w:rFonts w:ascii="Georgia" w:eastAsia="Times New Roman" w:hAnsi="Georgia" w:cs="Calibri"/>
            <w:lang w:eastAsia="en-GB"/>
          </w:rPr>
          <w:t xml:space="preserve">survey </w:t>
        </w:r>
        <w:r w:rsidR="00C63154" w:rsidRPr="000826D8">
          <w:rPr>
            <w:rStyle w:val="Hyperlink"/>
            <w:rFonts w:ascii="Georgia" w:eastAsia="Times New Roman" w:hAnsi="Georgia" w:cs="Calibri"/>
            <w:lang w:eastAsia="en-GB"/>
          </w:rPr>
          <w:t>template</w:t>
        </w:r>
      </w:hyperlink>
      <w:r w:rsidR="00786290" w:rsidRPr="000826D8">
        <w:rPr>
          <w:rFonts w:ascii="Georgia" w:eastAsia="Times New Roman" w:hAnsi="Georgia" w:cs="Calibri"/>
          <w:color w:val="000000"/>
          <w:lang w:eastAsia="en-GB"/>
        </w:rPr>
        <w:t xml:space="preserve">. </w:t>
      </w:r>
      <w:r w:rsidR="00A06FC9" w:rsidRPr="000826D8">
        <w:rPr>
          <w:rFonts w:ascii="Georgia" w:eastAsia="Times New Roman" w:hAnsi="Georgia" w:cs="Calibri"/>
          <w:color w:val="000000"/>
          <w:lang w:eastAsia="en-GB"/>
        </w:rPr>
        <w:t>C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ounting </w:t>
      </w:r>
      <w:r w:rsidR="00A06FC9" w:rsidRPr="000826D8">
        <w:rPr>
          <w:rFonts w:ascii="Georgia" w:eastAsia="Times New Roman" w:hAnsi="Georgia" w:cs="Calibri"/>
          <w:color w:val="000000"/>
          <w:lang w:eastAsia="en-GB"/>
        </w:rPr>
        <w:t>W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 xml:space="preserve">hat </w:t>
      </w:r>
      <w:r w:rsidR="00A06FC9" w:rsidRPr="000826D8">
        <w:rPr>
          <w:rFonts w:ascii="Georgia" w:eastAsia="Times New Roman" w:hAnsi="Georgia" w:cs="Calibri"/>
          <w:color w:val="000000"/>
          <w:lang w:eastAsia="en-GB"/>
        </w:rPr>
        <w:t>C</w:t>
      </w:r>
      <w:r w:rsidR="00271D55" w:rsidRPr="000826D8">
        <w:rPr>
          <w:rFonts w:ascii="Georgia" w:eastAsia="Times New Roman" w:hAnsi="Georgia" w:cs="Calibri"/>
          <w:color w:val="000000"/>
          <w:lang w:eastAsia="en-GB"/>
        </w:rPr>
        <w:t>ounts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 xml:space="preserve"> are here to support your </w:t>
      </w:r>
      <w:r w:rsidR="00786290" w:rsidRPr="000826D8">
        <w:rPr>
          <w:rFonts w:ascii="Georgia" w:eastAsia="Times New Roman" w:hAnsi="Georgia" w:cs="Calibri"/>
          <w:color w:val="000000"/>
          <w:lang w:eastAsia="en-GB"/>
        </w:rPr>
        <w:t xml:space="preserve">evaluation efforts however much your programme of activities has </w:t>
      </w:r>
      <w:r w:rsidR="00D6023B" w:rsidRPr="000826D8">
        <w:rPr>
          <w:rFonts w:ascii="Georgia" w:eastAsia="Times New Roman" w:hAnsi="Georgia" w:cs="Calibri"/>
          <w:color w:val="000000"/>
          <w:lang w:eastAsia="en-GB"/>
        </w:rPr>
        <w:t xml:space="preserve">changed. </w:t>
      </w:r>
    </w:p>
    <w:p w14:paraId="75DCB4D6" w14:textId="77777777" w:rsidR="00786290" w:rsidRPr="000826D8" w:rsidRDefault="00C63154">
      <w:pPr>
        <w:rPr>
          <w:rFonts w:ascii="Georgia" w:eastAsia="Times New Roman" w:hAnsi="Georgia" w:cs="Calibri"/>
          <w:color w:val="000000"/>
          <w:lang w:eastAsia="en-GB"/>
        </w:rPr>
      </w:pPr>
      <w:r w:rsidRPr="000826D8">
        <w:rPr>
          <w:rFonts w:ascii="Georgia" w:eastAsia="Times New Roman" w:hAnsi="Georgia" w:cs="Calibri"/>
          <w:color w:val="000000"/>
          <w:lang w:eastAsia="en-GB"/>
        </w:rPr>
        <w:t> </w:t>
      </w:r>
    </w:p>
    <w:p w14:paraId="2F12708D" w14:textId="77777777" w:rsidR="00786290" w:rsidRPr="000826D8" w:rsidRDefault="00786290" w:rsidP="00786290">
      <w:pPr>
        <w:rPr>
          <w:rFonts w:ascii="Georgia" w:hAnsi="Georgia"/>
        </w:rPr>
      </w:pPr>
      <w:r w:rsidRPr="000826D8">
        <w:rPr>
          <w:rFonts w:ascii="Georgia" w:hAnsi="Georgia"/>
        </w:rPr>
        <w:lastRenderedPageBreak/>
        <w:t xml:space="preserve">The inherent flexibility of the Toolkit </w:t>
      </w:r>
      <w:r w:rsidR="00D6023B" w:rsidRPr="000826D8">
        <w:rPr>
          <w:rFonts w:ascii="Georgia" w:hAnsi="Georgia"/>
        </w:rPr>
        <w:t>means</w:t>
      </w:r>
      <w:r w:rsidRPr="000826D8">
        <w:rPr>
          <w:rFonts w:ascii="Georgia" w:hAnsi="Georgia"/>
        </w:rPr>
        <w:t xml:space="preserve"> that </w:t>
      </w:r>
      <w:r w:rsidR="00D6023B" w:rsidRPr="000826D8">
        <w:rPr>
          <w:rFonts w:ascii="Georgia" w:hAnsi="Georgia"/>
        </w:rPr>
        <w:t>it</w:t>
      </w:r>
      <w:r w:rsidRPr="000826D8">
        <w:rPr>
          <w:rFonts w:ascii="Georgia" w:hAnsi="Georgia"/>
        </w:rPr>
        <w:t xml:space="preserve"> can support NPOs to evaluate and understand the impact of their new programm</w:t>
      </w:r>
      <w:r w:rsidR="00A06FC9" w:rsidRPr="000826D8">
        <w:rPr>
          <w:rFonts w:ascii="Georgia" w:hAnsi="Georgia"/>
        </w:rPr>
        <w:t xml:space="preserve">ing </w:t>
      </w:r>
      <w:r w:rsidRPr="000826D8">
        <w:rPr>
          <w:rFonts w:ascii="Georgia" w:hAnsi="Georgia"/>
        </w:rPr>
        <w:t>plan</w:t>
      </w:r>
      <w:r w:rsidR="00A06FC9" w:rsidRPr="000826D8">
        <w:rPr>
          <w:rFonts w:ascii="Georgia" w:hAnsi="Georgia"/>
        </w:rPr>
        <w:t>s</w:t>
      </w:r>
      <w:r w:rsidRPr="000826D8">
        <w:rPr>
          <w:rFonts w:ascii="Georgia" w:hAnsi="Georgia"/>
        </w:rPr>
        <w:t xml:space="preserve"> </w:t>
      </w:r>
      <w:r w:rsidR="00A06FC9" w:rsidRPr="000826D8">
        <w:rPr>
          <w:rFonts w:ascii="Georgia" w:hAnsi="Georgia"/>
        </w:rPr>
        <w:t>as they</w:t>
      </w:r>
      <w:r w:rsidRPr="000826D8">
        <w:rPr>
          <w:rFonts w:ascii="Georgia" w:hAnsi="Georgia"/>
        </w:rPr>
        <w:t xml:space="preserve"> re-open under different circumstances. </w:t>
      </w:r>
    </w:p>
    <w:p w14:paraId="71749FF8" w14:textId="77777777" w:rsidR="007F5CE9" w:rsidRPr="000826D8" w:rsidRDefault="007F5CE9" w:rsidP="00786290">
      <w:pPr>
        <w:rPr>
          <w:rFonts w:ascii="Georgia" w:hAnsi="Georgia"/>
        </w:rPr>
      </w:pPr>
    </w:p>
    <w:p w14:paraId="2229E9A0" w14:textId="30C3B64D" w:rsidR="007F5CE9" w:rsidRPr="000826D8" w:rsidRDefault="00AF5793" w:rsidP="00786290">
      <w:pPr>
        <w:rPr>
          <w:rFonts w:ascii="Georgia" w:hAnsi="Georgia"/>
        </w:rPr>
      </w:pPr>
      <w:r w:rsidRPr="000826D8">
        <w:rPr>
          <w:rFonts w:ascii="Georgia" w:hAnsi="Georgia"/>
        </w:rPr>
        <w:t>T</w:t>
      </w:r>
      <w:r w:rsidR="007F5CE9" w:rsidRPr="000826D8">
        <w:rPr>
          <w:rFonts w:ascii="Georgia" w:hAnsi="Georgia"/>
        </w:rPr>
        <w:t xml:space="preserve">he survey builder functionality in the Toolkit allows you to create any bespoke survey you </w:t>
      </w:r>
      <w:proofErr w:type="gramStart"/>
      <w:r w:rsidR="007F5CE9" w:rsidRPr="000826D8">
        <w:rPr>
          <w:rFonts w:ascii="Georgia" w:hAnsi="Georgia"/>
        </w:rPr>
        <w:t>want, and</w:t>
      </w:r>
      <w:proofErr w:type="gramEnd"/>
      <w:r w:rsidR="007F5CE9" w:rsidRPr="000826D8">
        <w:rPr>
          <w:rFonts w:ascii="Georgia" w:hAnsi="Georgia"/>
        </w:rPr>
        <w:t xml:space="preserve"> collect as many responses as you wish. We see global users of the Culture Counts platform doing all kinds of interesting evaluations of the impact of culture, so </w:t>
      </w:r>
      <w:r w:rsidR="00A06FC9" w:rsidRPr="000826D8">
        <w:rPr>
          <w:rFonts w:ascii="Georgia" w:hAnsi="Georgia"/>
        </w:rPr>
        <w:t xml:space="preserve">do </w:t>
      </w:r>
      <w:hyperlink r:id="rId10" w:history="1">
        <w:r w:rsidR="007F5CE9" w:rsidRPr="000E5623">
          <w:rPr>
            <w:rStyle w:val="Hyperlink"/>
            <w:rFonts w:ascii="Georgia" w:hAnsi="Georgia"/>
          </w:rPr>
          <w:t xml:space="preserve">get in touch with </w:t>
        </w:r>
        <w:r w:rsidRPr="000E5623">
          <w:rPr>
            <w:rStyle w:val="Hyperlink"/>
            <w:rFonts w:ascii="Georgia" w:hAnsi="Georgia"/>
          </w:rPr>
          <w:t>Counting What Counts</w:t>
        </w:r>
      </w:hyperlink>
      <w:r w:rsidR="007F5CE9" w:rsidRPr="000826D8">
        <w:rPr>
          <w:rFonts w:ascii="Georgia" w:hAnsi="Georgia"/>
        </w:rPr>
        <w:t xml:space="preserve"> if you’re thinking of doing something new. </w:t>
      </w:r>
    </w:p>
    <w:p w14:paraId="3CF474C5" w14:textId="77777777" w:rsidR="007F5CE9" w:rsidRPr="000826D8" w:rsidRDefault="007F5CE9" w:rsidP="00786290">
      <w:pPr>
        <w:rPr>
          <w:rFonts w:ascii="Georgia" w:hAnsi="Georgia"/>
        </w:rPr>
      </w:pPr>
    </w:p>
    <w:p w14:paraId="093074A6" w14:textId="2473545E" w:rsidR="00786290" w:rsidRPr="000826D8" w:rsidRDefault="00A06FC9" w:rsidP="00786290">
      <w:pPr>
        <w:rPr>
          <w:rFonts w:ascii="Georgia" w:hAnsi="Georgia"/>
        </w:rPr>
      </w:pPr>
      <w:r w:rsidRPr="000826D8">
        <w:rPr>
          <w:rFonts w:ascii="Georgia" w:hAnsi="Georgia"/>
        </w:rPr>
        <w:t>To support NPOs</w:t>
      </w:r>
      <w:r w:rsidR="00271D55" w:rsidRPr="000826D8">
        <w:rPr>
          <w:rFonts w:ascii="Georgia" w:hAnsi="Georgia"/>
        </w:rPr>
        <w:t>,</w:t>
      </w:r>
      <w:r w:rsidR="007F5CE9" w:rsidRPr="000826D8">
        <w:rPr>
          <w:rFonts w:ascii="Georgia" w:hAnsi="Georgia"/>
        </w:rPr>
        <w:t xml:space="preserve"> C</w:t>
      </w:r>
      <w:r w:rsidR="00AF5793" w:rsidRPr="000826D8">
        <w:rPr>
          <w:rFonts w:ascii="Georgia" w:hAnsi="Georgia"/>
        </w:rPr>
        <w:t xml:space="preserve">ounting </w:t>
      </w:r>
      <w:r w:rsidR="007F5CE9" w:rsidRPr="000826D8">
        <w:rPr>
          <w:rFonts w:ascii="Georgia" w:hAnsi="Georgia"/>
        </w:rPr>
        <w:t>W</w:t>
      </w:r>
      <w:r w:rsidR="00AF5793" w:rsidRPr="000826D8">
        <w:rPr>
          <w:rFonts w:ascii="Georgia" w:hAnsi="Georgia"/>
        </w:rPr>
        <w:t xml:space="preserve">hat </w:t>
      </w:r>
      <w:r w:rsidR="007F5CE9" w:rsidRPr="000826D8">
        <w:rPr>
          <w:rFonts w:ascii="Georgia" w:hAnsi="Georgia"/>
        </w:rPr>
        <w:t>C</w:t>
      </w:r>
      <w:r w:rsidR="00AF5793" w:rsidRPr="000826D8">
        <w:rPr>
          <w:rFonts w:ascii="Georgia" w:hAnsi="Georgia"/>
        </w:rPr>
        <w:t>ounts</w:t>
      </w:r>
      <w:r w:rsidR="007F5CE9" w:rsidRPr="000826D8">
        <w:rPr>
          <w:rFonts w:ascii="Georgia" w:hAnsi="Georgia"/>
        </w:rPr>
        <w:t xml:space="preserve"> are also actively developing new </w:t>
      </w:r>
      <w:r w:rsidR="00670AB3">
        <w:rPr>
          <w:rFonts w:ascii="Georgia" w:hAnsi="Georgia"/>
        </w:rPr>
        <w:t>re</w:t>
      </w:r>
      <w:r w:rsidR="004B52C1">
        <w:rPr>
          <w:rFonts w:ascii="Georgia" w:hAnsi="Georgia"/>
        </w:rPr>
        <w:t>so</w:t>
      </w:r>
      <w:r w:rsidR="00670AB3">
        <w:rPr>
          <w:rFonts w:ascii="Georgia" w:hAnsi="Georgia"/>
        </w:rPr>
        <w:t>urces</w:t>
      </w:r>
      <w:r w:rsidR="007F5CE9" w:rsidRPr="000826D8">
        <w:rPr>
          <w:rFonts w:ascii="Georgia" w:hAnsi="Georgia"/>
        </w:rPr>
        <w:t xml:space="preserve"> that will </w:t>
      </w:r>
      <w:r w:rsidR="00670AB3">
        <w:rPr>
          <w:rFonts w:ascii="Georgia" w:hAnsi="Georgia"/>
        </w:rPr>
        <w:t xml:space="preserve">support you to use the Toolkit more flexibly. </w:t>
      </w:r>
      <w:r w:rsidR="004B52C1">
        <w:rPr>
          <w:rFonts w:ascii="Georgia" w:hAnsi="Georgia"/>
        </w:rPr>
        <w:t xml:space="preserve"> Resource t</w:t>
      </w:r>
      <w:r w:rsidR="00670AB3">
        <w:rPr>
          <w:rFonts w:ascii="Georgia" w:hAnsi="Georgia"/>
        </w:rPr>
        <w:t>opics</w:t>
      </w:r>
      <w:r w:rsidR="00786290" w:rsidRPr="000826D8">
        <w:rPr>
          <w:rFonts w:ascii="Georgia" w:hAnsi="Georgia"/>
        </w:rPr>
        <w:t xml:space="preserve"> </w:t>
      </w:r>
      <w:proofErr w:type="gramStart"/>
      <w:r w:rsidR="00670AB3">
        <w:rPr>
          <w:rFonts w:ascii="Georgia" w:hAnsi="Georgia"/>
        </w:rPr>
        <w:t>include:</w:t>
      </w:r>
      <w:proofErr w:type="gramEnd"/>
      <w:r w:rsidR="00670AB3">
        <w:rPr>
          <w:rFonts w:ascii="Georgia" w:hAnsi="Georgia"/>
        </w:rPr>
        <w:t xml:space="preserve"> </w:t>
      </w:r>
      <w:r w:rsidR="00786290" w:rsidRPr="000826D8">
        <w:rPr>
          <w:rFonts w:ascii="Georgia" w:hAnsi="Georgia"/>
        </w:rPr>
        <w:t>hybrid events (simultaneously live and online)</w:t>
      </w:r>
      <w:r w:rsidR="007F5CE9" w:rsidRPr="000826D8">
        <w:rPr>
          <w:rFonts w:ascii="Georgia" w:hAnsi="Georgia"/>
        </w:rPr>
        <w:t>;</w:t>
      </w:r>
      <w:r w:rsidR="00786290" w:rsidRPr="000826D8">
        <w:rPr>
          <w:rFonts w:ascii="Georgia" w:hAnsi="Georgia"/>
        </w:rPr>
        <w:t xml:space="preserve"> socially distanced outdoor events</w:t>
      </w:r>
      <w:r w:rsidR="007F5CE9" w:rsidRPr="000826D8">
        <w:rPr>
          <w:rFonts w:ascii="Georgia" w:hAnsi="Georgia"/>
        </w:rPr>
        <w:t>; and the impact of culture in place.</w:t>
      </w:r>
      <w:r w:rsidR="00786290" w:rsidRPr="000826D8">
        <w:rPr>
          <w:rFonts w:ascii="Georgia" w:hAnsi="Georgia"/>
        </w:rPr>
        <w:t xml:space="preserve"> </w:t>
      </w:r>
      <w:r w:rsidR="00670AB3">
        <w:rPr>
          <w:rFonts w:ascii="Georgia" w:hAnsi="Georgia"/>
        </w:rPr>
        <w:t xml:space="preserve">Further reporting tools are also being developed, making </w:t>
      </w:r>
      <w:r w:rsidR="00271D55" w:rsidRPr="000826D8">
        <w:rPr>
          <w:rFonts w:ascii="Georgia" w:hAnsi="Georgia"/>
        </w:rPr>
        <w:t>it easier to share a wider range of information with your stakeholders.</w:t>
      </w:r>
      <w:r w:rsidR="00786290" w:rsidRPr="000826D8">
        <w:rPr>
          <w:rFonts w:ascii="Georgia" w:hAnsi="Georgia"/>
        </w:rPr>
        <w:t xml:space="preserve"> </w:t>
      </w:r>
    </w:p>
    <w:p w14:paraId="22F7B7EF" w14:textId="77777777" w:rsidR="00271D55" w:rsidRPr="000826D8" w:rsidRDefault="00271D55">
      <w:pPr>
        <w:rPr>
          <w:rFonts w:ascii="Georgia" w:hAnsi="Georgia"/>
        </w:rPr>
      </w:pPr>
    </w:p>
    <w:p w14:paraId="14580513" w14:textId="77777777" w:rsidR="00C63154" w:rsidRPr="000826D8" w:rsidRDefault="00271D55">
      <w:pPr>
        <w:rPr>
          <w:rFonts w:ascii="Georgia" w:hAnsi="Georgia"/>
          <w:b/>
          <w:bCs/>
        </w:rPr>
      </w:pPr>
      <w:r w:rsidRPr="000826D8">
        <w:rPr>
          <w:rFonts w:ascii="Georgia" w:hAnsi="Georgia"/>
          <w:b/>
          <w:bCs/>
        </w:rPr>
        <w:t>How else can the Impact &amp; Insight Toolkit help me?</w:t>
      </w:r>
    </w:p>
    <w:p w14:paraId="0FC754B1" w14:textId="77777777" w:rsidR="00D764B9" w:rsidRPr="000826D8" w:rsidRDefault="00D764B9">
      <w:pPr>
        <w:rPr>
          <w:rFonts w:ascii="Georgia" w:hAnsi="Georgia"/>
        </w:rPr>
      </w:pPr>
    </w:p>
    <w:p w14:paraId="6D08B2E9" w14:textId="77777777" w:rsidR="00C63154" w:rsidRPr="000826D8" w:rsidRDefault="00786290">
      <w:pPr>
        <w:rPr>
          <w:rFonts w:ascii="Georgia" w:hAnsi="Georgia"/>
        </w:rPr>
      </w:pPr>
      <w:r w:rsidRPr="000826D8">
        <w:rPr>
          <w:rFonts w:ascii="Georgia" w:hAnsi="Georgia"/>
        </w:rPr>
        <w:t>The Toolkit collects your data in a consistent way which allows the sector to speak with one voice and demonstrate what the arts can mean in people’s lives.</w:t>
      </w:r>
      <w:r w:rsidR="00271D55" w:rsidRPr="000826D8">
        <w:rPr>
          <w:rFonts w:ascii="Georgia" w:hAnsi="Georgia"/>
        </w:rPr>
        <w:t xml:space="preserve"> </w:t>
      </w:r>
      <w:r w:rsidR="00D764B9" w:rsidRPr="000826D8">
        <w:rPr>
          <w:rFonts w:ascii="Georgia" w:hAnsi="Georgia"/>
        </w:rPr>
        <w:t>The innovation shown by the arts and cultural sector over recent months has been astounding and it is our responsibility to develop the Toolkit accordingly</w:t>
      </w:r>
      <w:r w:rsidR="00271D55" w:rsidRPr="000826D8">
        <w:rPr>
          <w:rFonts w:ascii="Georgia" w:hAnsi="Georgia"/>
        </w:rPr>
        <w:t xml:space="preserve"> to enable you to evidence this</w:t>
      </w:r>
      <w:r w:rsidR="00D764B9" w:rsidRPr="000826D8">
        <w:rPr>
          <w:rFonts w:ascii="Georgia" w:hAnsi="Georgia"/>
        </w:rPr>
        <w:t>.</w:t>
      </w:r>
      <w:r w:rsidR="00271D55" w:rsidRPr="000826D8">
        <w:rPr>
          <w:rFonts w:ascii="Georgia" w:hAnsi="Georgia"/>
        </w:rPr>
        <w:t xml:space="preserve"> </w:t>
      </w:r>
      <w:r w:rsidR="00D764B9" w:rsidRPr="000826D8">
        <w:rPr>
          <w:rFonts w:ascii="Georgia" w:hAnsi="Georgia"/>
        </w:rPr>
        <w:t>As you re-open, and re-engage, the Toolkit can help you demonstrate the differe</w:t>
      </w:r>
      <w:r w:rsidR="00A06FC9" w:rsidRPr="000826D8">
        <w:rPr>
          <w:rFonts w:ascii="Georgia" w:hAnsi="Georgia"/>
        </w:rPr>
        <w:t>nce</w:t>
      </w:r>
      <w:r w:rsidR="00D764B9" w:rsidRPr="000826D8">
        <w:rPr>
          <w:rFonts w:ascii="Georgia" w:hAnsi="Georgia"/>
        </w:rPr>
        <w:t xml:space="preserve"> your organisation</w:t>
      </w:r>
      <w:r w:rsidR="00A06FC9" w:rsidRPr="000826D8">
        <w:rPr>
          <w:rFonts w:ascii="Georgia" w:hAnsi="Georgia"/>
        </w:rPr>
        <w:t xml:space="preserve"> makes to your audiences and community.</w:t>
      </w:r>
      <w:r w:rsidR="00D764B9" w:rsidRPr="000826D8">
        <w:rPr>
          <w:rFonts w:ascii="Georgia" w:hAnsi="Georgia"/>
        </w:rPr>
        <w:t xml:space="preserve"> </w:t>
      </w:r>
    </w:p>
    <w:p w14:paraId="01C47FB9" w14:textId="77777777" w:rsidR="007F5CE9" w:rsidRPr="000826D8" w:rsidRDefault="007F5CE9">
      <w:pPr>
        <w:rPr>
          <w:rFonts w:ascii="Georgia" w:hAnsi="Georgia"/>
        </w:rPr>
      </w:pPr>
    </w:p>
    <w:p w14:paraId="6A647F0C" w14:textId="77777777" w:rsidR="00C63154" w:rsidRPr="00826E2C" w:rsidRDefault="00271D55">
      <w:pPr>
        <w:rPr>
          <w:rFonts w:ascii="Georgia" w:hAnsi="Georgia"/>
          <w:b/>
          <w:bCs/>
        </w:rPr>
      </w:pPr>
      <w:r w:rsidRPr="00826E2C">
        <w:rPr>
          <w:rFonts w:ascii="Georgia" w:hAnsi="Georgia"/>
          <w:b/>
          <w:bCs/>
        </w:rPr>
        <w:t>Where can I find out more?</w:t>
      </w:r>
    </w:p>
    <w:p w14:paraId="2C6ADAF6" w14:textId="77777777" w:rsidR="00786290" w:rsidRPr="000826D8" w:rsidRDefault="00786290">
      <w:pPr>
        <w:rPr>
          <w:rFonts w:ascii="Georgia" w:hAnsi="Georgia"/>
        </w:rPr>
      </w:pPr>
    </w:p>
    <w:p w14:paraId="1A5ED38E" w14:textId="45FC8A20" w:rsidR="00D6023B" w:rsidRPr="000826D8" w:rsidRDefault="00D6023B" w:rsidP="00D6023B">
      <w:pPr>
        <w:rPr>
          <w:rFonts w:ascii="Georgia" w:hAnsi="Georgia"/>
        </w:rPr>
      </w:pPr>
      <w:r w:rsidRPr="000826D8">
        <w:rPr>
          <w:rFonts w:ascii="Georgia" w:hAnsi="Georgia"/>
        </w:rPr>
        <w:t xml:space="preserve">There is a full range of guidance notes, and ‘how to’ resources available on the </w:t>
      </w:r>
      <w:hyperlink r:id="rId11" w:history="1">
        <w:r w:rsidRPr="000826D8">
          <w:rPr>
            <w:rStyle w:val="Hyperlink"/>
            <w:rFonts w:ascii="Georgia" w:hAnsi="Georgia"/>
          </w:rPr>
          <w:t>Impact &amp; Insight Toolkit website</w:t>
        </w:r>
      </w:hyperlink>
      <w:r w:rsidR="003047C2" w:rsidRPr="000826D8">
        <w:rPr>
          <w:rFonts w:ascii="Georgia" w:hAnsi="Georgia"/>
        </w:rPr>
        <w:t xml:space="preserve">, including a new guide to using </w:t>
      </w:r>
      <w:hyperlink r:id="rId12" w:history="1">
        <w:r w:rsidR="003047C2" w:rsidRPr="000826D8">
          <w:rPr>
            <w:rStyle w:val="Hyperlink"/>
            <w:rFonts w:ascii="Georgia" w:hAnsi="Georgia"/>
          </w:rPr>
          <w:t>QR codes</w:t>
        </w:r>
      </w:hyperlink>
      <w:r w:rsidR="003047C2" w:rsidRPr="000826D8">
        <w:rPr>
          <w:rFonts w:ascii="Georgia" w:hAnsi="Georgia"/>
        </w:rPr>
        <w:t xml:space="preserve"> to issue audience surveys</w:t>
      </w:r>
      <w:r w:rsidR="00670AB3">
        <w:rPr>
          <w:rFonts w:ascii="Georgia" w:hAnsi="Georgia"/>
        </w:rPr>
        <w:t xml:space="preserve"> in a contactless way</w:t>
      </w:r>
      <w:r w:rsidR="003047C2" w:rsidRPr="000826D8">
        <w:rPr>
          <w:rFonts w:ascii="Georgia" w:hAnsi="Georgia"/>
        </w:rPr>
        <w:t>.</w:t>
      </w:r>
    </w:p>
    <w:p w14:paraId="42E6AD4D" w14:textId="77777777" w:rsidR="00D6023B" w:rsidRPr="000826D8" w:rsidRDefault="00D6023B">
      <w:pPr>
        <w:rPr>
          <w:rFonts w:ascii="Georgia" w:hAnsi="Georgia"/>
        </w:rPr>
      </w:pPr>
    </w:p>
    <w:p w14:paraId="26933E16" w14:textId="00822C52" w:rsidR="00D6023B" w:rsidRPr="000826D8" w:rsidRDefault="00670AB3">
      <w:pPr>
        <w:rPr>
          <w:rFonts w:ascii="Georgia" w:hAnsi="Georgia"/>
        </w:rPr>
      </w:pPr>
      <w:r>
        <w:rPr>
          <w:rFonts w:ascii="Georgia" w:hAnsi="Georgia"/>
        </w:rPr>
        <w:t xml:space="preserve">Counting What Counts are </w:t>
      </w:r>
      <w:r w:rsidR="00D6023B" w:rsidRPr="000826D8">
        <w:rPr>
          <w:rFonts w:ascii="Georgia" w:hAnsi="Georgia"/>
        </w:rPr>
        <w:t xml:space="preserve">regularly adding new material, so do follow </w:t>
      </w:r>
      <w:r>
        <w:rPr>
          <w:rFonts w:ascii="Georgia" w:hAnsi="Georgia"/>
        </w:rPr>
        <w:t>them</w:t>
      </w:r>
      <w:r w:rsidR="00D6023B" w:rsidRPr="000826D8">
        <w:rPr>
          <w:rFonts w:ascii="Georgia" w:hAnsi="Georgia"/>
        </w:rPr>
        <w:t xml:space="preserve"> on </w:t>
      </w:r>
      <w:hyperlink r:id="rId13" w:history="1">
        <w:r w:rsidR="00D6023B" w:rsidRPr="000826D8">
          <w:rPr>
            <w:rStyle w:val="Hyperlink"/>
            <w:rFonts w:ascii="Georgia" w:hAnsi="Georgia"/>
          </w:rPr>
          <w:t>twitter</w:t>
        </w:r>
      </w:hyperlink>
      <w:r>
        <w:rPr>
          <w:rStyle w:val="Hyperlink"/>
          <w:rFonts w:ascii="Georgia" w:hAnsi="Georgia"/>
        </w:rPr>
        <w:t xml:space="preserve"> and/or </w:t>
      </w:r>
      <w:hyperlink r:id="rId14" w:history="1">
        <w:r w:rsidRPr="00670AB3">
          <w:rPr>
            <w:rStyle w:val="Hyperlink"/>
            <w:rFonts w:ascii="Georgia" w:hAnsi="Georgia"/>
          </w:rPr>
          <w:t>Facebook</w:t>
        </w:r>
      </w:hyperlink>
      <w:r w:rsidR="00D6023B" w:rsidRPr="000826D8">
        <w:rPr>
          <w:rFonts w:ascii="Georgia" w:hAnsi="Georgia"/>
        </w:rPr>
        <w:t xml:space="preserve"> or regularly check the </w:t>
      </w:r>
      <w:hyperlink r:id="rId15" w:history="1">
        <w:r w:rsidR="00D6023B" w:rsidRPr="00670AB3">
          <w:rPr>
            <w:rStyle w:val="Hyperlink"/>
            <w:rFonts w:ascii="Georgia" w:hAnsi="Georgia"/>
          </w:rPr>
          <w:t>Resources page</w:t>
        </w:r>
      </w:hyperlink>
      <w:r w:rsidR="00D6023B" w:rsidRPr="000826D8">
        <w:rPr>
          <w:rFonts w:ascii="Georgia" w:hAnsi="Georgia"/>
        </w:rPr>
        <w:t xml:space="preserve"> of the Toolkit website. </w:t>
      </w:r>
    </w:p>
    <w:p w14:paraId="79C1A708" w14:textId="77777777" w:rsidR="00D6023B" w:rsidRPr="000826D8" w:rsidRDefault="00D6023B">
      <w:pPr>
        <w:rPr>
          <w:rFonts w:ascii="Georgia" w:hAnsi="Georgia"/>
        </w:rPr>
      </w:pPr>
    </w:p>
    <w:p w14:paraId="1531E455" w14:textId="0B100D3A" w:rsidR="00786290" w:rsidRPr="000826D8" w:rsidRDefault="00786290">
      <w:pPr>
        <w:rPr>
          <w:rFonts w:ascii="Georgia" w:hAnsi="Georgia"/>
        </w:rPr>
      </w:pPr>
      <w:r w:rsidRPr="000826D8">
        <w:rPr>
          <w:rFonts w:ascii="Georgia" w:hAnsi="Georgia"/>
        </w:rPr>
        <w:t xml:space="preserve">Now might be a good time for us to help you evaluate a new piece of work, or </w:t>
      </w:r>
      <w:r w:rsidR="007F5CE9" w:rsidRPr="000826D8">
        <w:rPr>
          <w:rFonts w:ascii="Georgia" w:hAnsi="Georgia"/>
        </w:rPr>
        <w:t xml:space="preserve">to </w:t>
      </w:r>
      <w:r w:rsidRPr="000826D8">
        <w:rPr>
          <w:rFonts w:ascii="Georgia" w:hAnsi="Georgia"/>
        </w:rPr>
        <w:t xml:space="preserve">review some aspect of your </w:t>
      </w:r>
      <w:r w:rsidR="007F5CE9" w:rsidRPr="000826D8">
        <w:rPr>
          <w:rFonts w:ascii="Georgia" w:hAnsi="Georgia"/>
        </w:rPr>
        <w:t xml:space="preserve">long standing </w:t>
      </w:r>
      <w:r w:rsidRPr="000826D8">
        <w:rPr>
          <w:rFonts w:ascii="Georgia" w:hAnsi="Georgia"/>
        </w:rPr>
        <w:t xml:space="preserve">evaluation activities.  </w:t>
      </w:r>
      <w:r w:rsidR="007F5CE9" w:rsidRPr="000826D8">
        <w:rPr>
          <w:rFonts w:ascii="Georgia" w:hAnsi="Georgia"/>
        </w:rPr>
        <w:t xml:space="preserve">So do </w:t>
      </w:r>
      <w:hyperlink r:id="rId16" w:history="1">
        <w:r w:rsidR="007F5CE9" w:rsidRPr="000826D8">
          <w:rPr>
            <w:rStyle w:val="Hyperlink"/>
            <w:rFonts w:ascii="Georgia" w:hAnsi="Georgia"/>
          </w:rPr>
          <w:t>g</w:t>
        </w:r>
        <w:r w:rsidRPr="000826D8">
          <w:rPr>
            <w:rStyle w:val="Hyperlink"/>
            <w:rFonts w:ascii="Georgia" w:hAnsi="Georgia"/>
          </w:rPr>
          <w:t>et in touch</w:t>
        </w:r>
      </w:hyperlink>
      <w:r w:rsidRPr="000826D8">
        <w:rPr>
          <w:rFonts w:ascii="Georgia" w:hAnsi="Georgia"/>
        </w:rPr>
        <w:t xml:space="preserve"> </w:t>
      </w:r>
      <w:r w:rsidR="003047C2" w:rsidRPr="000826D8">
        <w:rPr>
          <w:rFonts w:ascii="Georgia" w:hAnsi="Georgia"/>
        </w:rPr>
        <w:t xml:space="preserve">with Counting What Counts </w:t>
      </w:r>
      <w:r w:rsidRPr="000826D8">
        <w:rPr>
          <w:rFonts w:ascii="Georgia" w:hAnsi="Georgia"/>
        </w:rPr>
        <w:t xml:space="preserve">or join one of </w:t>
      </w:r>
      <w:r w:rsidR="00D40B0F">
        <w:rPr>
          <w:rFonts w:ascii="Georgia" w:hAnsi="Georgia"/>
        </w:rPr>
        <w:t>their</w:t>
      </w:r>
      <w:r w:rsidRPr="000826D8">
        <w:rPr>
          <w:rFonts w:ascii="Georgia" w:hAnsi="Georgia"/>
        </w:rPr>
        <w:t xml:space="preserve"> </w:t>
      </w:r>
      <w:hyperlink r:id="rId17" w:history="1">
        <w:r w:rsidRPr="000826D8">
          <w:rPr>
            <w:rStyle w:val="Hyperlink"/>
            <w:rFonts w:ascii="Georgia" w:hAnsi="Georgia"/>
          </w:rPr>
          <w:t>online demos</w:t>
        </w:r>
      </w:hyperlink>
      <w:r w:rsidRPr="000826D8">
        <w:rPr>
          <w:rFonts w:ascii="Georgia" w:hAnsi="Georgia"/>
        </w:rPr>
        <w:t xml:space="preserve">.  </w:t>
      </w:r>
      <w:r w:rsidR="00670AB3">
        <w:rPr>
          <w:rFonts w:ascii="Georgia" w:hAnsi="Georgia"/>
        </w:rPr>
        <w:t>They are</w:t>
      </w:r>
      <w:r w:rsidR="00670AB3" w:rsidRPr="000826D8">
        <w:rPr>
          <w:rFonts w:ascii="Georgia" w:hAnsi="Georgia"/>
        </w:rPr>
        <w:t xml:space="preserve"> </w:t>
      </w:r>
      <w:r w:rsidRPr="000826D8">
        <w:rPr>
          <w:rFonts w:ascii="Georgia" w:hAnsi="Georgia"/>
        </w:rPr>
        <w:t xml:space="preserve">here to help you experiment with new evaluations, and to support the sector as fully as </w:t>
      </w:r>
      <w:r w:rsidR="004B52C1">
        <w:rPr>
          <w:rFonts w:ascii="Georgia" w:hAnsi="Georgia"/>
        </w:rPr>
        <w:t>they</w:t>
      </w:r>
      <w:r w:rsidRPr="000826D8">
        <w:rPr>
          <w:rFonts w:ascii="Georgia" w:hAnsi="Georgia"/>
        </w:rPr>
        <w:t xml:space="preserve"> can.</w:t>
      </w:r>
    </w:p>
    <w:p w14:paraId="36113F43" w14:textId="77777777" w:rsidR="00786290" w:rsidRPr="000826D8" w:rsidRDefault="00786290">
      <w:pPr>
        <w:rPr>
          <w:rFonts w:ascii="Georgia" w:hAnsi="Georgia"/>
        </w:rPr>
      </w:pPr>
    </w:p>
    <w:sectPr w:rsidR="00786290" w:rsidRPr="000826D8" w:rsidSect="00590E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87"/>
    <w:rsid w:val="000826D8"/>
    <w:rsid w:val="000E5623"/>
    <w:rsid w:val="00172EEE"/>
    <w:rsid w:val="00271D55"/>
    <w:rsid w:val="002A2B4B"/>
    <w:rsid w:val="003047C2"/>
    <w:rsid w:val="00411D59"/>
    <w:rsid w:val="004B1187"/>
    <w:rsid w:val="004B52C1"/>
    <w:rsid w:val="004C5965"/>
    <w:rsid w:val="00590E0C"/>
    <w:rsid w:val="00670AB3"/>
    <w:rsid w:val="00786290"/>
    <w:rsid w:val="007F5CE9"/>
    <w:rsid w:val="00826E2C"/>
    <w:rsid w:val="009313F0"/>
    <w:rsid w:val="00A06FC9"/>
    <w:rsid w:val="00A778A1"/>
    <w:rsid w:val="00AD539B"/>
    <w:rsid w:val="00AF5793"/>
    <w:rsid w:val="00C63154"/>
    <w:rsid w:val="00C656D7"/>
    <w:rsid w:val="00C85AF0"/>
    <w:rsid w:val="00D40B0F"/>
    <w:rsid w:val="00D6023B"/>
    <w:rsid w:val="00D764B9"/>
    <w:rsid w:val="00EB67FE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9AA1"/>
  <w15:chartTrackingRefBased/>
  <w15:docId w15:val="{D4A9B4BD-6BA5-8243-9B3D-A202D3C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154"/>
  </w:style>
  <w:style w:type="paragraph" w:styleId="BalloonText">
    <w:name w:val="Balloon Text"/>
    <w:basedOn w:val="Normal"/>
    <w:link w:val="BalloonTextChar"/>
    <w:uiPriority w:val="99"/>
    <w:semiHidden/>
    <w:unhideWhenUsed/>
    <w:rsid w:val="00F261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andinsight.co.uk/evaluating-participatory-work-using-the-impact-insight-toolkit/" TargetMode="External"/><Relationship Id="rId13" Type="http://schemas.openxmlformats.org/officeDocument/2006/relationships/hyperlink" Target="https://twitter.com/Impact__Insigh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ect-eu.mimecast.com/s/ksXAC0YQgt5L0PIwbw3c?domain=youtu.be" TargetMode="External"/><Relationship Id="rId12" Type="http://schemas.openxmlformats.org/officeDocument/2006/relationships/hyperlink" Target="https://impactandinsight.co.uk/qr-codes/" TargetMode="External"/><Relationship Id="rId17" Type="http://schemas.openxmlformats.org/officeDocument/2006/relationships/hyperlink" Target="https://impactandinsight.co.uk/event-directo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pactandinsight.co.uk/contact/" TargetMode="External"/><Relationship Id="rId1" Type="http://schemas.openxmlformats.org/officeDocument/2006/relationships/styles" Target="styles.xml"/><Relationship Id="rId6" Type="http://schemas.openxmlformats.org/officeDocument/2006/relationships/hyperlink" Target="https://impactandinsight.co.uk/creating-your-insights-report-2/" TargetMode="External"/><Relationship Id="rId11" Type="http://schemas.openxmlformats.org/officeDocument/2006/relationships/hyperlink" Target="https://impactandinsight.co.uk/resources/" TargetMode="External"/><Relationship Id="rId5" Type="http://schemas.openxmlformats.org/officeDocument/2006/relationships/hyperlink" Target="https://protect-eu.mimecast.com/s/EUSJCmOJwF3lEzi3fAI0?domain=impactandinsight.co.uk" TargetMode="External"/><Relationship Id="rId15" Type="http://schemas.openxmlformats.org/officeDocument/2006/relationships/hyperlink" Target="https://impactandinsight.co.uk/resources/" TargetMode="External"/><Relationship Id="rId10" Type="http://schemas.openxmlformats.org/officeDocument/2006/relationships/hyperlink" Target="https://impactandinsight.co.uk/contac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mpactandinsight.co.uk/support-materials/" TargetMode="External"/><Relationship Id="rId9" Type="http://schemas.openxmlformats.org/officeDocument/2006/relationships/hyperlink" Target="https://impactandinsight.co.uk/developing-the-evaluation-for-online-works-template-to-suit-your-organisation-and-works/" TargetMode="External"/><Relationship Id="rId14" Type="http://schemas.openxmlformats.org/officeDocument/2006/relationships/hyperlink" Target="https://www.facebook.com/impactandins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Knell</dc:creator>
  <cp:keywords/>
  <dc:description/>
  <cp:lastModifiedBy>Nicola Frost</cp:lastModifiedBy>
  <cp:revision>3</cp:revision>
  <cp:lastPrinted>2020-07-29T15:01:00Z</cp:lastPrinted>
  <dcterms:created xsi:type="dcterms:W3CDTF">2020-08-05T11:26:00Z</dcterms:created>
  <dcterms:modified xsi:type="dcterms:W3CDTF">2020-08-05T11:26:00Z</dcterms:modified>
</cp:coreProperties>
</file>