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6C" w:rsidRPr="00680D87" w:rsidRDefault="000E700A" w:rsidP="00680D87">
      <w:pPr>
        <w:spacing w:line="320" w:lineRule="atLeast"/>
        <w:rPr>
          <w:b/>
          <w:color w:val="FF388C"/>
          <w:szCs w:val="24"/>
        </w:rPr>
      </w:pPr>
      <w:bookmarkStart w:id="0" w:name="_GoBack"/>
      <w:bookmarkEnd w:id="0"/>
      <w:r w:rsidRPr="00680D87">
        <w:rPr>
          <w:b/>
          <w:noProof/>
          <w:color w:val="FF388C"/>
          <w:szCs w:val="24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5475605</wp:posOffset>
            </wp:positionH>
            <wp:positionV relativeFrom="paragraph">
              <wp:posOffset>-939165</wp:posOffset>
            </wp:positionV>
            <wp:extent cx="819150" cy="809625"/>
            <wp:effectExtent l="19050" t="0" r="0" b="0"/>
            <wp:wrapNone/>
            <wp:docPr id="2" name="Picture 3" descr="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366" w:rsidRPr="00680D87">
        <w:rPr>
          <w:b/>
          <w:color w:val="FF388C"/>
          <w:szCs w:val="24"/>
        </w:rPr>
        <w:t>F</w:t>
      </w:r>
      <w:r w:rsidR="00680D87" w:rsidRPr="00680D87">
        <w:rPr>
          <w:b/>
          <w:color w:val="FF388C"/>
          <w:szCs w:val="24"/>
        </w:rPr>
        <w:t>urther response from the Arts Council</w:t>
      </w:r>
      <w:r w:rsidR="00680D87">
        <w:rPr>
          <w:b/>
          <w:color w:val="FF388C"/>
          <w:szCs w:val="24"/>
        </w:rPr>
        <w:t xml:space="preserve"> to:</w:t>
      </w:r>
    </w:p>
    <w:p w:rsidR="00680D87" w:rsidRDefault="00680D87" w:rsidP="00680D87">
      <w:pPr>
        <w:spacing w:line="320" w:lineRule="atLeast"/>
        <w:rPr>
          <w:b/>
          <w:sz w:val="28"/>
          <w:szCs w:val="28"/>
        </w:rPr>
      </w:pPr>
    </w:p>
    <w:p w:rsidR="00680D87" w:rsidRPr="00A43687" w:rsidRDefault="00680D87" w:rsidP="00680D87">
      <w:pPr>
        <w:pStyle w:val="Default"/>
        <w:tabs>
          <w:tab w:val="left" w:pos="1843"/>
        </w:tabs>
        <w:spacing w:after="240" w:line="320" w:lineRule="atLeast"/>
      </w:pPr>
      <w:r w:rsidRPr="00A43687">
        <w:rPr>
          <w:b/>
          <w:bCs/>
        </w:rPr>
        <w:t>William Sieghart and the Advisory Panel commissioned to produce a report on public libraries by the Department of Culture Media and Sport and the Department of Communities and Local Government.</w:t>
      </w:r>
    </w:p>
    <w:p w:rsidR="00872366" w:rsidRPr="00680D87" w:rsidRDefault="00680D87">
      <w:pPr>
        <w:spacing w:line="320" w:lineRule="atLeast"/>
        <w:rPr>
          <w:b/>
          <w:color w:val="FF388C"/>
        </w:rPr>
      </w:pPr>
      <w:r w:rsidRPr="00680D87">
        <w:rPr>
          <w:b/>
          <w:color w:val="FF388C"/>
        </w:rPr>
        <w:t>April 2014</w:t>
      </w:r>
    </w:p>
    <w:p w:rsidR="00680D87" w:rsidRDefault="00680D87">
      <w:pPr>
        <w:spacing w:line="320" w:lineRule="atLeast"/>
      </w:pPr>
    </w:p>
    <w:p w:rsidR="00872366" w:rsidRPr="00680D87" w:rsidRDefault="00680D87" w:rsidP="00F035FF">
      <w:pPr>
        <w:pStyle w:val="ListParagraph"/>
        <w:numPr>
          <w:ilvl w:val="0"/>
          <w:numId w:val="20"/>
        </w:numPr>
        <w:spacing w:line="320" w:lineRule="atLeast"/>
        <w:rPr>
          <w:b/>
          <w:color w:val="FF388C"/>
        </w:rPr>
      </w:pPr>
      <w:r>
        <w:rPr>
          <w:b/>
          <w:color w:val="FF388C"/>
        </w:rPr>
        <w:t>Context</w:t>
      </w:r>
    </w:p>
    <w:p w:rsidR="00680D87" w:rsidRDefault="00680D87" w:rsidP="001408D5">
      <w:pPr>
        <w:spacing w:line="320" w:lineRule="atLeast"/>
      </w:pPr>
    </w:p>
    <w:p w:rsidR="0050741F" w:rsidRDefault="00F035FF" w:rsidP="001408D5">
      <w:pPr>
        <w:spacing w:line="320" w:lineRule="atLeast"/>
      </w:pPr>
      <w:r>
        <w:t>The Arts Council</w:t>
      </w:r>
      <w:r w:rsidR="00863CBC">
        <w:t xml:space="preserve"> </w:t>
      </w:r>
      <w:r>
        <w:t xml:space="preserve">has been asked by </w:t>
      </w:r>
      <w:r w:rsidR="00700207">
        <w:t>William Sieghart to set out the</w:t>
      </w:r>
      <w:r>
        <w:t xml:space="preserve"> benefits </w:t>
      </w:r>
      <w:r w:rsidR="00700207">
        <w:t>that could</w:t>
      </w:r>
      <w:r>
        <w:t xml:space="preserve"> </w:t>
      </w:r>
      <w:r w:rsidR="00700207">
        <w:t xml:space="preserve">follow </w:t>
      </w:r>
      <w:r>
        <w:t>if its role in relation to libraries were to be further developed.</w:t>
      </w:r>
      <w:r w:rsidR="00A619B6">
        <w:t xml:space="preserve"> </w:t>
      </w:r>
    </w:p>
    <w:p w:rsidR="0050741F" w:rsidRDefault="0050741F" w:rsidP="001408D5">
      <w:pPr>
        <w:spacing w:line="320" w:lineRule="atLeast"/>
      </w:pPr>
    </w:p>
    <w:p w:rsidR="00F035FF" w:rsidRPr="00680D87" w:rsidRDefault="00F035FF" w:rsidP="00F035FF">
      <w:pPr>
        <w:pStyle w:val="ListParagraph"/>
        <w:numPr>
          <w:ilvl w:val="0"/>
          <w:numId w:val="20"/>
        </w:numPr>
        <w:spacing w:line="320" w:lineRule="atLeast"/>
        <w:rPr>
          <w:b/>
          <w:color w:val="FF388C"/>
        </w:rPr>
      </w:pPr>
      <w:r w:rsidRPr="00680D87">
        <w:rPr>
          <w:b/>
          <w:color w:val="FF388C"/>
        </w:rPr>
        <w:t>H</w:t>
      </w:r>
      <w:r w:rsidR="00680D87">
        <w:rPr>
          <w:b/>
          <w:color w:val="FF388C"/>
        </w:rPr>
        <w:t>ow we got here</w:t>
      </w:r>
    </w:p>
    <w:p w:rsidR="00680D87" w:rsidRDefault="00680D87" w:rsidP="001408D5">
      <w:pPr>
        <w:pStyle w:val="ListParagraph"/>
        <w:spacing w:line="320" w:lineRule="atLeast"/>
        <w:ind w:left="0"/>
      </w:pPr>
    </w:p>
    <w:p w:rsidR="00680D87" w:rsidRDefault="00BE0CC5" w:rsidP="001408D5">
      <w:pPr>
        <w:pStyle w:val="ListParagraph"/>
        <w:spacing w:line="320" w:lineRule="atLeast"/>
        <w:ind w:left="0"/>
      </w:pPr>
      <w:r>
        <w:t xml:space="preserve">Arts Council </w:t>
      </w:r>
      <w:r w:rsidR="00700207" w:rsidRPr="00700207">
        <w:t>England</w:t>
      </w:r>
      <w:r w:rsidR="00700207">
        <w:t xml:space="preserve"> (ACE) </w:t>
      </w:r>
      <w:r>
        <w:t xml:space="preserve">adopted the library development function for England in 2011. </w:t>
      </w:r>
      <w:r w:rsidR="00700207">
        <w:t>The idea of an agency to undertake this role was conceived in 1995 with the creation of t</w:t>
      </w:r>
      <w:r>
        <w:t>he Lib</w:t>
      </w:r>
      <w:r w:rsidR="00700207">
        <w:t>rary and Information Commission</w:t>
      </w:r>
      <w:r>
        <w:t xml:space="preserve">. It </w:t>
      </w:r>
      <w:r w:rsidR="00700207">
        <w:t xml:space="preserve">passed </w:t>
      </w:r>
      <w:r>
        <w:t xml:space="preserve">in 2000 </w:t>
      </w:r>
      <w:r w:rsidR="00700207">
        <w:t>to what became</w:t>
      </w:r>
      <w:r w:rsidR="00F65DAF">
        <w:t xml:space="preserve"> the Museums, </w:t>
      </w:r>
      <w:r w:rsidR="00C857D0">
        <w:t>L</w:t>
      </w:r>
      <w:r>
        <w:t>ibraries and Archives Council</w:t>
      </w:r>
      <w:r w:rsidR="00700207">
        <w:t xml:space="preserve"> until transferring to ACE</w:t>
      </w:r>
      <w:r>
        <w:t xml:space="preserve">. </w:t>
      </w:r>
    </w:p>
    <w:p w:rsidR="00680D87" w:rsidRDefault="00680D87" w:rsidP="001408D5">
      <w:pPr>
        <w:pStyle w:val="ListParagraph"/>
        <w:spacing w:line="320" w:lineRule="atLeast"/>
        <w:ind w:left="0"/>
      </w:pPr>
    </w:p>
    <w:p w:rsidR="00A619B6" w:rsidRDefault="00292AD3" w:rsidP="001408D5">
      <w:pPr>
        <w:pStyle w:val="ListParagraph"/>
        <w:spacing w:line="320" w:lineRule="atLeast"/>
        <w:ind w:left="0"/>
      </w:pPr>
      <w:r>
        <w:t xml:space="preserve">Our own perspective is reflected in our response to </w:t>
      </w:r>
      <w:r w:rsidRPr="00292AD3">
        <w:rPr>
          <w:i/>
        </w:rPr>
        <w:t>‘Envisioning the library of the future.’</w:t>
      </w:r>
      <w:r>
        <w:t xml:space="preserve"> </w:t>
      </w:r>
      <w:r w:rsidR="00700207">
        <w:t>We</w:t>
      </w:r>
      <w:r w:rsidR="00863CBC">
        <w:t xml:space="preserve"> ha</w:t>
      </w:r>
      <w:r w:rsidR="00700207">
        <w:t>ve</w:t>
      </w:r>
      <w:r w:rsidR="00863CBC">
        <w:t xml:space="preserve"> integrated </w:t>
      </w:r>
      <w:r w:rsidR="00700207">
        <w:t>our</w:t>
      </w:r>
      <w:r w:rsidR="00863CBC">
        <w:t xml:space="preserve"> </w:t>
      </w:r>
      <w:r>
        <w:t xml:space="preserve">development </w:t>
      </w:r>
      <w:r w:rsidR="00863CBC">
        <w:t>work with libraries into our goals and strategic plans, and ha</w:t>
      </w:r>
      <w:r w:rsidR="00700207">
        <w:t>ve</w:t>
      </w:r>
      <w:r w:rsidR="00863CBC">
        <w:t xml:space="preserve"> </w:t>
      </w:r>
      <w:r>
        <w:t xml:space="preserve">invested in </w:t>
      </w:r>
      <w:r w:rsidR="00863CBC">
        <w:t xml:space="preserve">libraries as described in our original submission of evidence. </w:t>
      </w:r>
    </w:p>
    <w:p w:rsidR="00A619B6" w:rsidRDefault="00A619B6" w:rsidP="001408D5">
      <w:pPr>
        <w:pStyle w:val="ListParagraph"/>
        <w:spacing w:line="320" w:lineRule="atLeast"/>
        <w:ind w:left="0"/>
      </w:pPr>
      <w:r>
        <w:t xml:space="preserve"> </w:t>
      </w:r>
    </w:p>
    <w:p w:rsidR="0061529F" w:rsidRPr="00680D87" w:rsidRDefault="00292AD3" w:rsidP="0061529F">
      <w:pPr>
        <w:pStyle w:val="ListParagraph"/>
        <w:numPr>
          <w:ilvl w:val="0"/>
          <w:numId w:val="20"/>
        </w:numPr>
        <w:spacing w:line="320" w:lineRule="atLeast"/>
        <w:rPr>
          <w:b/>
          <w:color w:val="FF388C"/>
        </w:rPr>
      </w:pPr>
      <w:r w:rsidRPr="00680D87">
        <w:rPr>
          <w:b/>
          <w:color w:val="FF388C"/>
        </w:rPr>
        <w:t>C</w:t>
      </w:r>
      <w:r w:rsidR="00680D87">
        <w:rPr>
          <w:b/>
          <w:color w:val="FF388C"/>
        </w:rPr>
        <w:t>hallenges, expectations and potential</w:t>
      </w:r>
    </w:p>
    <w:p w:rsidR="00680D87" w:rsidRDefault="00680D87" w:rsidP="001408D5">
      <w:pPr>
        <w:spacing w:line="320" w:lineRule="atLeast"/>
      </w:pPr>
    </w:p>
    <w:p w:rsidR="00292AD3" w:rsidRDefault="006B5F4C" w:rsidP="001408D5">
      <w:pPr>
        <w:spacing w:line="320" w:lineRule="atLeast"/>
      </w:pPr>
      <w:r>
        <w:t>In a tough financial environment</w:t>
      </w:r>
      <w:r w:rsidR="008A41A1">
        <w:t xml:space="preserve">, </w:t>
      </w:r>
      <w:r>
        <w:t xml:space="preserve">the public sector is adapting and the impact this is having on public libraries is frequently in the news. Solutions are most likely to emerge from a mix of local design and delivery of services that meet the needs of communities, and </w:t>
      </w:r>
      <w:r w:rsidR="00F701B2">
        <w:t>service</w:t>
      </w:r>
      <w:r>
        <w:t xml:space="preserve"> developments that can be achieved most effectively on a </w:t>
      </w:r>
      <w:r w:rsidR="00F701B2">
        <w:t>national</w:t>
      </w:r>
      <w:r>
        <w:t xml:space="preserve"> scale</w:t>
      </w:r>
      <w:r w:rsidR="00F701B2">
        <w:t>, and in clusters that create economies of scope and of scale</w:t>
      </w:r>
      <w:r>
        <w:t xml:space="preserve">. </w:t>
      </w:r>
    </w:p>
    <w:p w:rsidR="00292AD3" w:rsidRDefault="00292AD3" w:rsidP="001408D5">
      <w:pPr>
        <w:spacing w:line="320" w:lineRule="atLeast"/>
      </w:pPr>
    </w:p>
    <w:p w:rsidR="00456EC7" w:rsidRDefault="00F701B2" w:rsidP="001408D5">
      <w:pPr>
        <w:spacing w:line="320" w:lineRule="atLeast"/>
      </w:pPr>
      <w:r>
        <w:t>Public libraries</w:t>
      </w:r>
      <w:r w:rsidR="0050741F">
        <w:t xml:space="preserve"> need stronger national leadershi</w:t>
      </w:r>
      <w:r>
        <w:t>p, of a kind that facilitates, prompts</w:t>
      </w:r>
      <w:r w:rsidR="0050741F">
        <w:t xml:space="preserve"> and enables</w:t>
      </w:r>
      <w:r>
        <w:t>, equipped with the means to make change happen</w:t>
      </w:r>
      <w:r w:rsidR="0050741F">
        <w:t xml:space="preserve">. Defining expectations of </w:t>
      </w:r>
      <w:r>
        <w:t>an</w:t>
      </w:r>
      <w:r w:rsidR="0050741F">
        <w:t xml:space="preserve"> agency and those who deliver the service, and holding them to account are tasks that re</w:t>
      </w:r>
      <w:r>
        <w:t xml:space="preserve">st most appropriately </w:t>
      </w:r>
      <w:r w:rsidR="0050741F">
        <w:t xml:space="preserve">with central and local Government. </w:t>
      </w:r>
      <w:r w:rsidR="00456EC7">
        <w:t>To meet these expectations, the development agency for libraries will require a strengthened mandate, resources to incentivise change, and a broader skill set.</w:t>
      </w:r>
    </w:p>
    <w:p w:rsidR="0061529F" w:rsidRDefault="00456EC7" w:rsidP="001408D5">
      <w:pPr>
        <w:spacing w:line="320" w:lineRule="atLeast"/>
      </w:pPr>
      <w:r>
        <w:t xml:space="preserve"> </w:t>
      </w:r>
    </w:p>
    <w:p w:rsidR="00680D87" w:rsidRDefault="00680D87" w:rsidP="001408D5">
      <w:pPr>
        <w:spacing w:line="320" w:lineRule="atLeast"/>
      </w:pPr>
    </w:p>
    <w:p w:rsidR="000A05B6" w:rsidRDefault="000A05B6" w:rsidP="001408D5">
      <w:pPr>
        <w:spacing w:line="320" w:lineRule="atLeast"/>
      </w:pPr>
    </w:p>
    <w:p w:rsidR="00292AD3" w:rsidRPr="00680D87" w:rsidRDefault="00292AD3" w:rsidP="00292AD3">
      <w:pPr>
        <w:pStyle w:val="ListParagraph"/>
        <w:numPr>
          <w:ilvl w:val="0"/>
          <w:numId w:val="20"/>
        </w:numPr>
        <w:spacing w:line="320" w:lineRule="atLeast"/>
        <w:rPr>
          <w:b/>
          <w:color w:val="FF388C"/>
        </w:rPr>
      </w:pPr>
      <w:r w:rsidRPr="00680D87">
        <w:rPr>
          <w:b/>
          <w:color w:val="FF388C"/>
        </w:rPr>
        <w:lastRenderedPageBreak/>
        <w:t>W</w:t>
      </w:r>
      <w:r w:rsidR="00680D87">
        <w:rPr>
          <w:b/>
          <w:color w:val="FF388C"/>
        </w:rPr>
        <w:t>hat wo</w:t>
      </w:r>
      <w:r w:rsidR="004535E8">
        <w:rPr>
          <w:b/>
          <w:color w:val="FF388C"/>
        </w:rPr>
        <w:t>u</w:t>
      </w:r>
      <w:r w:rsidR="00680D87">
        <w:rPr>
          <w:b/>
          <w:color w:val="FF388C"/>
        </w:rPr>
        <w:t>ld this look like?</w:t>
      </w:r>
    </w:p>
    <w:p w:rsidR="0061529F" w:rsidRDefault="0061529F" w:rsidP="00292AD3">
      <w:pPr>
        <w:spacing w:line="320" w:lineRule="atLeast"/>
        <w:ind w:left="720"/>
      </w:pPr>
    </w:p>
    <w:p w:rsidR="0061529F" w:rsidRPr="00680D87" w:rsidRDefault="00292AD3" w:rsidP="00973943">
      <w:pPr>
        <w:pStyle w:val="ListParagraph"/>
        <w:numPr>
          <w:ilvl w:val="1"/>
          <w:numId w:val="20"/>
        </w:numPr>
        <w:spacing w:line="320" w:lineRule="atLeast"/>
        <w:ind w:left="708" w:hanging="708"/>
        <w:rPr>
          <w:b/>
          <w:color w:val="FF388C"/>
        </w:rPr>
      </w:pPr>
      <w:r w:rsidRPr="00680D87">
        <w:rPr>
          <w:b/>
          <w:color w:val="FF388C"/>
        </w:rPr>
        <w:t>Mandate</w:t>
      </w:r>
    </w:p>
    <w:p w:rsidR="00680D87" w:rsidRDefault="00680D87" w:rsidP="00973943">
      <w:pPr>
        <w:spacing w:line="320" w:lineRule="atLeast"/>
      </w:pPr>
    </w:p>
    <w:p w:rsidR="0061529F" w:rsidRDefault="00456EC7" w:rsidP="00973943">
      <w:pPr>
        <w:spacing w:line="320" w:lineRule="atLeast"/>
      </w:pPr>
      <w:r>
        <w:t>A stronger</w:t>
      </w:r>
      <w:r w:rsidR="00E42567">
        <w:t xml:space="preserve"> library development agency </w:t>
      </w:r>
      <w:r w:rsidR="00F701B2">
        <w:t xml:space="preserve">would </w:t>
      </w:r>
      <w:r>
        <w:t xml:space="preserve">be </w:t>
      </w:r>
      <w:r w:rsidR="00E42567">
        <w:t xml:space="preserve">able </w:t>
      </w:r>
      <w:r>
        <w:t xml:space="preserve">to </w:t>
      </w:r>
      <w:r w:rsidR="00F701B2">
        <w:t>procur</w:t>
      </w:r>
      <w:r w:rsidR="00E42567">
        <w:t>e</w:t>
      </w:r>
      <w:r>
        <w:t xml:space="preserve"> </w:t>
      </w:r>
      <w:r w:rsidR="00F701B2">
        <w:t>digital services for all libraries</w:t>
      </w:r>
      <w:r w:rsidR="000E0441">
        <w:t>,</w:t>
      </w:r>
      <w:r w:rsidR="004535E8">
        <w:t xml:space="preserve"> broker </w:t>
      </w:r>
      <w:r w:rsidR="000A05B6">
        <w:t xml:space="preserve">national </w:t>
      </w:r>
      <w:r w:rsidR="004535E8">
        <w:t xml:space="preserve">partnership arrangements where added value </w:t>
      </w:r>
      <w:r w:rsidR="000A05B6">
        <w:t>can be gained</w:t>
      </w:r>
      <w:r w:rsidR="000E0441">
        <w:t xml:space="preserve"> </w:t>
      </w:r>
      <w:r w:rsidR="000A05B6">
        <w:t>such as</w:t>
      </w:r>
      <w:r w:rsidR="004535E8">
        <w:t xml:space="preserve"> </w:t>
      </w:r>
      <w:r w:rsidR="000A05B6">
        <w:t>support for health and well-being and enterprise. It could</w:t>
      </w:r>
      <w:r w:rsidR="00F701B2">
        <w:t xml:space="preserve"> </w:t>
      </w:r>
      <w:r w:rsidR="000A05B6">
        <w:t xml:space="preserve">also </w:t>
      </w:r>
      <w:r w:rsidR="00973943">
        <w:t>coordinat</w:t>
      </w:r>
      <w:r>
        <w:t>e</w:t>
      </w:r>
      <w:r w:rsidR="00973943">
        <w:t xml:space="preserve"> support for emerging </w:t>
      </w:r>
      <w:r>
        <w:t xml:space="preserve">community-led </w:t>
      </w:r>
      <w:r w:rsidR="00973943">
        <w:t xml:space="preserve">libraries </w:t>
      </w:r>
      <w:r w:rsidR="001408D5">
        <w:t>not supported</w:t>
      </w:r>
      <w:r w:rsidR="00973943">
        <w:t xml:space="preserve"> by local authorities. </w:t>
      </w:r>
      <w:r w:rsidR="00E42567">
        <w:t xml:space="preserve">To succeed, increased expectations of leadership would be acknowledged by Government and partners who have an interest in how this will work. </w:t>
      </w:r>
      <w:r>
        <w:t xml:space="preserve">The current Post Envisioning Partnership has made a promising start and </w:t>
      </w:r>
      <w:r w:rsidR="000A05B6">
        <w:t>could</w:t>
      </w:r>
      <w:r>
        <w:t xml:space="preserve"> provide </w:t>
      </w:r>
      <w:r w:rsidR="000A05B6">
        <w:t>the</w:t>
      </w:r>
      <w:r>
        <w:t xml:space="preserve"> basis for continued engagement. This should be</w:t>
      </w:r>
      <w:r w:rsidR="00E42567">
        <w:t xml:space="preserve"> discuss</w:t>
      </w:r>
      <w:r>
        <w:t>ed</w:t>
      </w:r>
      <w:r w:rsidR="00E42567">
        <w:t xml:space="preserve"> with DCMS and other key stakeholders to secure a way forward that provides the best approach for driving library development. Activity related to statutory functions </w:t>
      </w:r>
      <w:r w:rsidR="00693CF1">
        <w:t>is</w:t>
      </w:r>
      <w:r>
        <w:t xml:space="preserve"> best retained by</w:t>
      </w:r>
      <w:r w:rsidR="00E42567">
        <w:t xml:space="preserve"> the Secretary of State.</w:t>
      </w:r>
    </w:p>
    <w:p w:rsidR="0061529F" w:rsidRDefault="0061529F" w:rsidP="00973943">
      <w:pPr>
        <w:spacing w:line="320" w:lineRule="atLeast"/>
      </w:pPr>
    </w:p>
    <w:p w:rsidR="0061529F" w:rsidRPr="00680D87" w:rsidRDefault="00456EC7" w:rsidP="00973943">
      <w:pPr>
        <w:pStyle w:val="ListParagraph"/>
        <w:numPr>
          <w:ilvl w:val="1"/>
          <w:numId w:val="20"/>
        </w:numPr>
        <w:spacing w:line="320" w:lineRule="atLeast"/>
        <w:ind w:left="708" w:hanging="708"/>
        <w:rPr>
          <w:b/>
          <w:color w:val="FF388C"/>
        </w:rPr>
      </w:pPr>
      <w:r>
        <w:rPr>
          <w:b/>
          <w:color w:val="FF388C"/>
        </w:rPr>
        <w:t>Resources</w:t>
      </w:r>
    </w:p>
    <w:p w:rsidR="00680D87" w:rsidRDefault="00680D87" w:rsidP="00973943">
      <w:pPr>
        <w:spacing w:line="320" w:lineRule="atLeast"/>
      </w:pPr>
    </w:p>
    <w:p w:rsidR="0061529F" w:rsidRDefault="001408D5" w:rsidP="00973943">
      <w:pPr>
        <w:spacing w:line="320" w:lineRule="atLeast"/>
      </w:pPr>
      <w:r>
        <w:t>S</w:t>
      </w:r>
      <w:r w:rsidR="00A2094C">
        <w:t xml:space="preserve">tronger, more pro-active leadership of policy, partnerships, programme and product development would require </w:t>
      </w:r>
      <w:r>
        <w:t xml:space="preserve">a </w:t>
      </w:r>
      <w:r w:rsidR="00A2094C">
        <w:t xml:space="preserve">more </w:t>
      </w:r>
      <w:r w:rsidR="00973943">
        <w:t>potent engine room</w:t>
      </w:r>
      <w:r w:rsidR="00A2094C">
        <w:t xml:space="preserve"> than currently exists.</w:t>
      </w:r>
      <w:r w:rsidR="00973943">
        <w:t xml:space="preserve"> </w:t>
      </w:r>
    </w:p>
    <w:p w:rsidR="00973943" w:rsidRDefault="00973943" w:rsidP="00973943">
      <w:pPr>
        <w:spacing w:line="320" w:lineRule="atLeast"/>
      </w:pPr>
    </w:p>
    <w:p w:rsidR="00973943" w:rsidRDefault="001408D5" w:rsidP="00973943">
      <w:pPr>
        <w:spacing w:line="320" w:lineRule="atLeast"/>
      </w:pPr>
      <w:r>
        <w:t>As</w:t>
      </w:r>
      <w:r w:rsidR="00973943">
        <w:t xml:space="preserve"> important in galvanising change would be the creation of a new ‘Renaissance for Libraries’ programme to incentivise the development of improved services for users, and more efficient models of management/governance/delivery. </w:t>
      </w:r>
      <w:r w:rsidR="00693CF1">
        <w:t>It would</w:t>
      </w:r>
      <w:r w:rsidR="00447279">
        <w:t xml:space="preserve"> provide a </w:t>
      </w:r>
      <w:r w:rsidR="00693CF1">
        <w:t xml:space="preserve">vehicle for supporting </w:t>
      </w:r>
      <w:r w:rsidR="00447279">
        <w:t xml:space="preserve">initiatives that </w:t>
      </w:r>
      <w:r w:rsidR="00693CF1">
        <w:t>are most effectively resourced nationally</w:t>
      </w:r>
      <w:r w:rsidR="00447279">
        <w:t xml:space="preserve">. It is a model that we know works for museums and </w:t>
      </w:r>
      <w:r w:rsidR="00693CF1">
        <w:t>there is experience in</w:t>
      </w:r>
      <w:r w:rsidR="00447279">
        <w:t xml:space="preserve"> managing such an approach. An indicative framework might look as follows:</w:t>
      </w:r>
    </w:p>
    <w:p w:rsidR="00855360" w:rsidRDefault="00855360" w:rsidP="00973943">
      <w:pPr>
        <w:spacing w:line="320" w:lineRule="atLeast"/>
      </w:pPr>
    </w:p>
    <w:p w:rsidR="00883AB5" w:rsidRDefault="00447279" w:rsidP="00447279">
      <w:pPr>
        <w:numPr>
          <w:ilvl w:val="0"/>
          <w:numId w:val="36"/>
        </w:numPr>
        <w:spacing w:line="320" w:lineRule="atLeast"/>
      </w:pPr>
      <w:r>
        <w:t>A</w:t>
      </w:r>
      <w:r w:rsidRPr="00447279">
        <w:t xml:space="preserve"> </w:t>
      </w:r>
      <w:r w:rsidR="00883AB5" w:rsidRPr="00883AB5">
        <w:rPr>
          <w:i/>
        </w:rPr>
        <w:t>Major Partners</w:t>
      </w:r>
      <w:r w:rsidR="00883AB5">
        <w:t xml:space="preserve"> </w:t>
      </w:r>
      <w:r w:rsidRPr="00447279">
        <w:t>funding programme to complemen</w:t>
      </w:r>
      <w:r>
        <w:t xml:space="preserve">t local authority funding of </w:t>
      </w:r>
      <w:r w:rsidR="00693CF1">
        <w:t xml:space="preserve">10-15 clusters of library services that include </w:t>
      </w:r>
      <w:r>
        <w:t>major</w:t>
      </w:r>
      <w:r w:rsidRPr="00447279">
        <w:t xml:space="preserve"> </w:t>
      </w:r>
      <w:r>
        <w:t xml:space="preserve">central </w:t>
      </w:r>
      <w:r w:rsidRPr="00447279">
        <w:t>libraries</w:t>
      </w:r>
      <w:r w:rsidR="00693CF1">
        <w:t xml:space="preserve">. </w:t>
      </w:r>
      <w:r w:rsidR="00E2069C">
        <w:t>Like</w:t>
      </w:r>
      <w:r w:rsidRPr="00447279">
        <w:t xml:space="preserve"> </w:t>
      </w:r>
      <w:r w:rsidRPr="00693CF1">
        <w:rPr>
          <w:i/>
        </w:rPr>
        <w:t>M</w:t>
      </w:r>
      <w:r w:rsidR="00693CF1" w:rsidRPr="00693CF1">
        <w:rPr>
          <w:i/>
        </w:rPr>
        <w:t>ajor Partner Museums</w:t>
      </w:r>
      <w:r w:rsidR="00693CF1">
        <w:t xml:space="preserve"> (MPMs) they would</w:t>
      </w:r>
      <w:r w:rsidRPr="00447279">
        <w:t xml:space="preserve"> </w:t>
      </w:r>
      <w:r w:rsidR="00693CF1">
        <w:t>enable</w:t>
      </w:r>
      <w:r w:rsidRPr="00447279">
        <w:t xml:space="preserve"> those libraries to take on a leadership role across </w:t>
      </w:r>
      <w:r>
        <w:t>a cluster</w:t>
      </w:r>
      <w:r w:rsidRPr="00447279">
        <w:t xml:space="preserve"> of </w:t>
      </w:r>
      <w:r>
        <w:t>other</w:t>
      </w:r>
      <w:r w:rsidRPr="00447279">
        <w:t xml:space="preserve"> librar</w:t>
      </w:r>
      <w:r w:rsidR="00693CF1">
        <w:t>y</w:t>
      </w:r>
      <w:r w:rsidR="00E2069C">
        <w:t xml:space="preserve"> services</w:t>
      </w:r>
      <w:r w:rsidRPr="00447279">
        <w:t xml:space="preserve"> – providing </w:t>
      </w:r>
      <w:r w:rsidR="00693CF1">
        <w:t>workforce development</w:t>
      </w:r>
      <w:r w:rsidRPr="00447279">
        <w:t xml:space="preserve">, </w:t>
      </w:r>
      <w:r w:rsidR="00693CF1">
        <w:t>encouraging shared services,</w:t>
      </w:r>
      <w:r w:rsidRPr="00447279">
        <w:t xml:space="preserve"> </w:t>
      </w:r>
      <w:r w:rsidR="00693CF1">
        <w:t xml:space="preserve">professional </w:t>
      </w:r>
      <w:proofErr w:type="gramStart"/>
      <w:r w:rsidR="00693CF1">
        <w:t>standards</w:t>
      </w:r>
      <w:proofErr w:type="gramEnd"/>
      <w:r w:rsidR="00693CF1">
        <w:t>, and</w:t>
      </w:r>
      <w:r w:rsidRPr="00447279">
        <w:t xml:space="preserve"> better networ</w:t>
      </w:r>
      <w:r>
        <w:t xml:space="preserve">king. </w:t>
      </w:r>
      <w:r w:rsidR="00E2069C">
        <w:t>Clusters w</w:t>
      </w:r>
      <w:r w:rsidR="00693CF1">
        <w:t>ould be identified through application</w:t>
      </w:r>
      <w:r w:rsidR="00E2069C">
        <w:t xml:space="preserve">, possibly </w:t>
      </w:r>
      <w:r w:rsidR="00693CF1">
        <w:t>based</w:t>
      </w:r>
      <w:r>
        <w:t xml:space="preserve"> </w:t>
      </w:r>
      <w:r w:rsidR="00693CF1">
        <w:t xml:space="preserve">around </w:t>
      </w:r>
      <w:r w:rsidR="00693CF1" w:rsidRPr="00693CF1">
        <w:rPr>
          <w:i/>
        </w:rPr>
        <w:t>Core Cities</w:t>
      </w:r>
      <w:r w:rsidR="00693CF1">
        <w:t xml:space="preserve"> and the </w:t>
      </w:r>
      <w:r w:rsidRPr="00693CF1">
        <w:rPr>
          <w:i/>
        </w:rPr>
        <w:t>Enterprising Libraries</w:t>
      </w:r>
      <w:r>
        <w:t xml:space="preserve"> </w:t>
      </w:r>
      <w:r w:rsidR="00693CF1">
        <w:t>network – thus securing future of the latter</w:t>
      </w:r>
      <w:r w:rsidRPr="00447279">
        <w:t xml:space="preserve">. They would </w:t>
      </w:r>
      <w:r w:rsidR="00693CF1">
        <w:t>b</w:t>
      </w:r>
      <w:r w:rsidR="00E2069C">
        <w:t>e our</w:t>
      </w:r>
      <w:r w:rsidRPr="00447279">
        <w:t xml:space="preserve"> partners on the ground and play a key role in helping to deliver the strategic development programmes identified under ii) below</w:t>
      </w:r>
      <w:r>
        <w:t xml:space="preserve">. </w:t>
      </w:r>
      <w:r w:rsidR="00693CF1">
        <w:t>As with MPMs, we would welcome independent sector expertise in selecting the clusters.</w:t>
      </w:r>
    </w:p>
    <w:p w:rsidR="00447279" w:rsidRPr="00883AB5" w:rsidRDefault="00447279" w:rsidP="00883AB5">
      <w:pPr>
        <w:spacing w:line="320" w:lineRule="atLeast"/>
        <w:ind w:left="720"/>
        <w:rPr>
          <w:b/>
        </w:rPr>
      </w:pPr>
      <w:r w:rsidRPr="00883AB5">
        <w:rPr>
          <w:b/>
        </w:rPr>
        <w:t xml:space="preserve">Indicative cost: </w:t>
      </w:r>
      <w:r w:rsidRPr="00883AB5">
        <w:rPr>
          <w:b/>
        </w:rPr>
        <w:tab/>
        <w:t>£2</w:t>
      </w:r>
      <w:r w:rsidR="00693CF1">
        <w:rPr>
          <w:b/>
        </w:rPr>
        <w:t>0</w:t>
      </w:r>
      <w:r w:rsidRPr="00883AB5">
        <w:rPr>
          <w:b/>
        </w:rPr>
        <w:t>m</w:t>
      </w:r>
    </w:p>
    <w:p w:rsidR="00447279" w:rsidRPr="00883AB5" w:rsidRDefault="00447279" w:rsidP="00447279">
      <w:pPr>
        <w:numPr>
          <w:ilvl w:val="0"/>
          <w:numId w:val="36"/>
        </w:numPr>
        <w:spacing w:line="320" w:lineRule="atLeast"/>
        <w:rPr>
          <w:b/>
        </w:rPr>
      </w:pPr>
      <w:r w:rsidRPr="00883AB5">
        <w:rPr>
          <w:i/>
        </w:rPr>
        <w:lastRenderedPageBreak/>
        <w:t>Strategic development</w:t>
      </w:r>
      <w:r w:rsidRPr="00447279">
        <w:t xml:space="preserve"> funding </w:t>
      </w:r>
      <w:r>
        <w:t xml:space="preserve">programme </w:t>
      </w:r>
      <w:r w:rsidRPr="00447279">
        <w:t xml:space="preserve">for the sector as a whole </w:t>
      </w:r>
      <w:r w:rsidR="00E2069C">
        <w:t>– this w</w:t>
      </w:r>
      <w:r w:rsidRPr="00447279">
        <w:t xml:space="preserve">ould focus initially on the 4 development </w:t>
      </w:r>
      <w:r w:rsidR="00E2069C">
        <w:t>priorities</w:t>
      </w:r>
      <w:r w:rsidRPr="00447279">
        <w:t xml:space="preserve"> </w:t>
      </w:r>
      <w:r w:rsidR="00883AB5">
        <w:t xml:space="preserve">set out in </w:t>
      </w:r>
      <w:r w:rsidR="000A05B6">
        <w:t>‘</w:t>
      </w:r>
      <w:r w:rsidRPr="00E2069C">
        <w:rPr>
          <w:i/>
        </w:rPr>
        <w:t>Envisioning.</w:t>
      </w:r>
      <w:r w:rsidR="00E2069C" w:rsidRPr="00E2069C">
        <w:rPr>
          <w:i/>
        </w:rPr>
        <w:t>’</w:t>
      </w:r>
      <w:r>
        <w:t xml:space="preserve"> </w:t>
      </w:r>
      <w:r w:rsidRPr="00883AB5">
        <w:rPr>
          <w:b/>
        </w:rPr>
        <w:t>Indicative cost</w:t>
      </w:r>
      <w:r w:rsidRPr="00883AB5">
        <w:rPr>
          <w:b/>
        </w:rPr>
        <w:tab/>
        <w:t>£10m</w:t>
      </w:r>
    </w:p>
    <w:p w:rsidR="00883AB5" w:rsidRPr="00447279" w:rsidRDefault="00883AB5" w:rsidP="00883AB5">
      <w:pPr>
        <w:spacing w:line="320" w:lineRule="atLeast"/>
      </w:pPr>
    </w:p>
    <w:p w:rsidR="00447279" w:rsidRDefault="00447279" w:rsidP="00447279">
      <w:pPr>
        <w:numPr>
          <w:ilvl w:val="0"/>
          <w:numId w:val="36"/>
        </w:numPr>
        <w:spacing w:line="320" w:lineRule="atLeast"/>
      </w:pPr>
      <w:r>
        <w:t>An</w:t>
      </w:r>
      <w:r w:rsidRPr="00447279">
        <w:t xml:space="preserve"> </w:t>
      </w:r>
      <w:r w:rsidRPr="00883AB5">
        <w:rPr>
          <w:i/>
        </w:rPr>
        <w:t>open fund</w:t>
      </w:r>
      <w:r w:rsidRPr="00447279">
        <w:t xml:space="preserve"> available for all libraries</w:t>
      </w:r>
      <w:r w:rsidR="00E2069C">
        <w:t xml:space="preserve"> outside the Major Partner clusters</w:t>
      </w:r>
      <w:r w:rsidRPr="00447279">
        <w:t xml:space="preserve"> to bid into to enable them to undertake particular programmes/initiatives – this could build on the G</w:t>
      </w:r>
      <w:r w:rsidR="000A05B6">
        <w:t>rants for the Arts</w:t>
      </w:r>
      <w:r w:rsidRPr="00447279">
        <w:t xml:space="preserve"> fund for libr</w:t>
      </w:r>
      <w:r w:rsidR="00E2069C">
        <w:t>aries, but could be applied to the full range of library service activity.</w:t>
      </w:r>
    </w:p>
    <w:p w:rsidR="00447279" w:rsidRPr="00883AB5" w:rsidRDefault="00447279" w:rsidP="00883AB5">
      <w:pPr>
        <w:spacing w:line="320" w:lineRule="atLeast"/>
        <w:ind w:firstLine="708"/>
        <w:rPr>
          <w:b/>
        </w:rPr>
      </w:pPr>
      <w:r w:rsidRPr="00883AB5">
        <w:rPr>
          <w:b/>
        </w:rPr>
        <w:t>Indicative cost</w:t>
      </w:r>
      <w:r w:rsidRPr="00883AB5">
        <w:rPr>
          <w:b/>
        </w:rPr>
        <w:tab/>
        <w:t>£10m</w:t>
      </w:r>
    </w:p>
    <w:p w:rsidR="00447279" w:rsidRDefault="00447279" w:rsidP="00973943">
      <w:pPr>
        <w:spacing w:line="320" w:lineRule="atLeast"/>
      </w:pPr>
    </w:p>
    <w:p w:rsidR="0061529F" w:rsidRPr="00680D87" w:rsidRDefault="00292AD3" w:rsidP="00973943">
      <w:pPr>
        <w:pStyle w:val="ListParagraph"/>
        <w:numPr>
          <w:ilvl w:val="1"/>
          <w:numId w:val="20"/>
        </w:numPr>
        <w:spacing w:line="320" w:lineRule="atLeast"/>
        <w:ind w:left="708" w:hanging="708"/>
        <w:rPr>
          <w:b/>
          <w:color w:val="FF388C"/>
        </w:rPr>
      </w:pPr>
      <w:r w:rsidRPr="00680D87">
        <w:rPr>
          <w:b/>
          <w:color w:val="FF388C"/>
        </w:rPr>
        <w:t>Capa</w:t>
      </w:r>
      <w:r w:rsidR="00E2069C">
        <w:rPr>
          <w:b/>
          <w:color w:val="FF388C"/>
        </w:rPr>
        <w:t>c</w:t>
      </w:r>
      <w:r w:rsidRPr="00680D87">
        <w:rPr>
          <w:b/>
          <w:color w:val="FF388C"/>
        </w:rPr>
        <w:t>ity</w:t>
      </w:r>
    </w:p>
    <w:p w:rsidR="00680D87" w:rsidRDefault="00680D87" w:rsidP="00973943">
      <w:pPr>
        <w:spacing w:line="320" w:lineRule="atLeast"/>
      </w:pPr>
    </w:p>
    <w:p w:rsidR="0061529F" w:rsidRDefault="00973943" w:rsidP="00973943">
      <w:pPr>
        <w:spacing w:line="320" w:lineRule="atLeast"/>
      </w:pPr>
      <w:r>
        <w:t xml:space="preserve">The </w:t>
      </w:r>
      <w:r w:rsidR="00E2069C">
        <w:t>development agency model</w:t>
      </w:r>
      <w:r>
        <w:t xml:space="preserve"> described above would </w:t>
      </w:r>
      <w:r w:rsidR="00E2069C">
        <w:t xml:space="preserve">embed expertise in the sector by working closely in partnership with the Major Partners to provide the extra </w:t>
      </w:r>
      <w:r>
        <w:t xml:space="preserve">skills and knowledge than </w:t>
      </w:r>
      <w:r w:rsidR="001408D5">
        <w:t xml:space="preserve">are </w:t>
      </w:r>
      <w:r>
        <w:t>currently in place</w:t>
      </w:r>
      <w:r w:rsidR="001408D5">
        <w:t>.</w:t>
      </w:r>
      <w:r>
        <w:t xml:space="preserve"> </w:t>
      </w:r>
      <w:r w:rsidR="001408D5">
        <w:t>These might include</w:t>
      </w:r>
      <w:r>
        <w:t xml:space="preserve"> digital leadersh</w:t>
      </w:r>
      <w:r w:rsidR="001408D5">
        <w:t>ip, entrepreneurial approaches, and procurement</w:t>
      </w:r>
      <w:r w:rsidR="00E2069C">
        <w:t>. The agency would require additional capacity for the Renaissance for Libraries programme management</w:t>
      </w:r>
      <w:r w:rsidR="000A05B6">
        <w:t>,</w:t>
      </w:r>
      <w:r w:rsidR="00E2069C">
        <w:t xml:space="preserve"> and strengthened local engagement to support services across the country, but </w:t>
      </w:r>
      <w:r w:rsidR="001408D5">
        <w:t>the</w:t>
      </w:r>
      <w:r>
        <w:t xml:space="preserve"> </w:t>
      </w:r>
      <w:r w:rsidR="00E2069C">
        <w:t xml:space="preserve">strategic leadership </w:t>
      </w:r>
      <w:r>
        <w:t xml:space="preserve">skills and experience </w:t>
      </w:r>
      <w:r w:rsidR="00E2069C">
        <w:t>required are in place</w:t>
      </w:r>
      <w:r w:rsidR="001408D5">
        <w:t>.</w:t>
      </w:r>
    </w:p>
    <w:p w:rsidR="001408D5" w:rsidRDefault="001408D5" w:rsidP="00973943">
      <w:pPr>
        <w:spacing w:line="320" w:lineRule="atLeast"/>
      </w:pPr>
    </w:p>
    <w:p w:rsidR="001408D5" w:rsidRPr="00680D87" w:rsidRDefault="001408D5" w:rsidP="00973943">
      <w:pPr>
        <w:spacing w:line="320" w:lineRule="atLeast"/>
        <w:rPr>
          <w:b/>
          <w:color w:val="FF388C"/>
        </w:rPr>
      </w:pPr>
      <w:r w:rsidRPr="00680D87">
        <w:rPr>
          <w:b/>
          <w:color w:val="FF388C"/>
        </w:rPr>
        <w:t xml:space="preserve">4.4 </w:t>
      </w:r>
      <w:r w:rsidRPr="00680D87">
        <w:rPr>
          <w:b/>
          <w:color w:val="FF388C"/>
        </w:rPr>
        <w:tab/>
        <w:t>Costs</w:t>
      </w:r>
    </w:p>
    <w:p w:rsidR="00680D87" w:rsidRDefault="00680D87" w:rsidP="00973943">
      <w:pPr>
        <w:spacing w:line="320" w:lineRule="atLeast"/>
      </w:pPr>
    </w:p>
    <w:p w:rsidR="00680D87" w:rsidRDefault="001408D5" w:rsidP="00973943">
      <w:pPr>
        <w:spacing w:line="320" w:lineRule="atLeast"/>
      </w:pPr>
      <w:r>
        <w:t>Translating the i</w:t>
      </w:r>
      <w:r w:rsidR="00D263B1">
        <w:t xml:space="preserve">deas above into costs </w:t>
      </w:r>
      <w:r>
        <w:t xml:space="preserve">requires more </w:t>
      </w:r>
      <w:r w:rsidR="0050741F">
        <w:t xml:space="preserve">development </w:t>
      </w:r>
      <w:r w:rsidR="000A05B6">
        <w:t>work but</w:t>
      </w:r>
      <w:r w:rsidR="0050741F">
        <w:t xml:space="preserve"> </w:t>
      </w:r>
      <w:r w:rsidR="00D263B1">
        <w:t xml:space="preserve">the </w:t>
      </w:r>
      <w:r w:rsidR="00883AB5">
        <w:t>£4</w:t>
      </w:r>
      <w:r w:rsidR="000A05B6">
        <w:t>0</w:t>
      </w:r>
      <w:r w:rsidR="00883AB5">
        <w:t>m</w:t>
      </w:r>
      <w:r w:rsidR="00D263B1">
        <w:t xml:space="preserve"> would benefit the sector directly, and </w:t>
      </w:r>
      <w:r w:rsidR="000A05B6">
        <w:t xml:space="preserve">would be supplemented by </w:t>
      </w:r>
      <w:r w:rsidR="00D263B1">
        <w:t xml:space="preserve">only </w:t>
      </w:r>
      <w:r w:rsidR="000A05B6">
        <w:t xml:space="preserve">a small amount to </w:t>
      </w:r>
      <w:r w:rsidR="00D263B1">
        <w:t>cover the</w:t>
      </w:r>
      <w:r w:rsidR="00855360">
        <w:t xml:space="preserve"> costs</w:t>
      </w:r>
      <w:r w:rsidR="00883AB5">
        <w:t xml:space="preserve"> </w:t>
      </w:r>
      <w:r w:rsidR="00855360">
        <w:t>of administering a programme</w:t>
      </w:r>
      <w:r w:rsidR="00D263B1">
        <w:t xml:space="preserve"> of this scale, and deliver</w:t>
      </w:r>
      <w:r w:rsidR="00855360">
        <w:t xml:space="preserve"> the </w:t>
      </w:r>
      <w:r w:rsidR="00D263B1">
        <w:t xml:space="preserve">kind of </w:t>
      </w:r>
      <w:r w:rsidR="00855360">
        <w:t>requirements s</w:t>
      </w:r>
      <w:r w:rsidR="00D263B1">
        <w:t>hown</w:t>
      </w:r>
      <w:r w:rsidR="00855360">
        <w:t>.</w:t>
      </w:r>
    </w:p>
    <w:p w:rsidR="0050741F" w:rsidRDefault="0050741F" w:rsidP="001408D5">
      <w:pPr>
        <w:spacing w:line="320" w:lineRule="atLeast"/>
        <w:rPr>
          <w:b/>
          <w:i/>
        </w:rPr>
      </w:pPr>
    </w:p>
    <w:p w:rsidR="00F701B2" w:rsidRPr="00680D87" w:rsidRDefault="00F701B2" w:rsidP="0050741F">
      <w:pPr>
        <w:spacing w:line="320" w:lineRule="atLeast"/>
        <w:rPr>
          <w:b/>
          <w:color w:val="FF388C"/>
        </w:rPr>
      </w:pPr>
      <w:r w:rsidRPr="00680D87">
        <w:rPr>
          <w:b/>
          <w:color w:val="FF388C"/>
        </w:rPr>
        <w:t xml:space="preserve">4.5 </w:t>
      </w:r>
      <w:r w:rsidRPr="00680D87">
        <w:rPr>
          <w:b/>
          <w:color w:val="FF388C"/>
        </w:rPr>
        <w:tab/>
        <w:t>Benefits</w:t>
      </w:r>
    </w:p>
    <w:p w:rsidR="00680D87" w:rsidRDefault="00680D87" w:rsidP="000E0441">
      <w:pPr>
        <w:spacing w:line="320" w:lineRule="atLeast"/>
      </w:pPr>
    </w:p>
    <w:p w:rsidR="000E0441" w:rsidRDefault="00D263B1" w:rsidP="000E0441">
      <w:pPr>
        <w:spacing w:line="320" w:lineRule="atLeast"/>
      </w:pPr>
      <w:r>
        <w:t>By</w:t>
      </w:r>
      <w:r w:rsidR="00F701B2">
        <w:t xml:space="preserve"> </w:t>
      </w:r>
      <w:r w:rsidR="000E0441">
        <w:t xml:space="preserve">working </w:t>
      </w:r>
      <w:r>
        <w:t>together, the development agency,</w:t>
      </w:r>
      <w:r w:rsidR="000E0441">
        <w:t xml:space="preserve"> </w:t>
      </w:r>
      <w:r w:rsidR="00CB2382">
        <w:t xml:space="preserve">national and major </w:t>
      </w:r>
      <w:r w:rsidR="000E0441">
        <w:t>partners could:</w:t>
      </w:r>
    </w:p>
    <w:p w:rsidR="00680D87" w:rsidRDefault="00680D87" w:rsidP="000E0441">
      <w:pPr>
        <w:spacing w:line="320" w:lineRule="atLeast"/>
      </w:pPr>
    </w:p>
    <w:p w:rsidR="000E700A" w:rsidRDefault="000E700A" w:rsidP="000E0441">
      <w:pPr>
        <w:pStyle w:val="ListParagraph"/>
        <w:numPr>
          <w:ilvl w:val="0"/>
          <w:numId w:val="35"/>
        </w:numPr>
        <w:spacing w:line="320" w:lineRule="atLeast"/>
      </w:pPr>
      <w:r>
        <w:t>engage communities in the design and delivery of their local services</w:t>
      </w:r>
    </w:p>
    <w:p w:rsidR="000E700A" w:rsidRDefault="00CB2382" w:rsidP="000E0441">
      <w:pPr>
        <w:pStyle w:val="ListParagraph"/>
        <w:numPr>
          <w:ilvl w:val="0"/>
          <w:numId w:val="35"/>
        </w:numPr>
        <w:spacing w:line="320" w:lineRule="atLeast"/>
      </w:pPr>
      <w:r>
        <w:t>focus</w:t>
      </w:r>
      <w:r w:rsidR="000E700A">
        <w:t xml:space="preserve"> programmes on priorities for people and places – a literate, reading nation; a creative nation; </w:t>
      </w:r>
      <w:r>
        <w:t xml:space="preserve">and </w:t>
      </w:r>
      <w:r w:rsidR="000E700A">
        <w:t>hubs around which communities can grow</w:t>
      </w:r>
    </w:p>
    <w:p w:rsidR="000E700A" w:rsidRDefault="000E700A" w:rsidP="000E0441">
      <w:pPr>
        <w:pStyle w:val="ListParagraph"/>
        <w:numPr>
          <w:ilvl w:val="0"/>
          <w:numId w:val="35"/>
        </w:numPr>
        <w:spacing w:line="320" w:lineRule="atLeast"/>
      </w:pPr>
      <w:r>
        <w:t>incentivise service collaborations that are more efficient, effective and sustainable</w:t>
      </w:r>
    </w:p>
    <w:p w:rsidR="000E0441" w:rsidRDefault="000E700A" w:rsidP="000E0441">
      <w:pPr>
        <w:pStyle w:val="ListParagraph"/>
        <w:numPr>
          <w:ilvl w:val="0"/>
          <w:numId w:val="35"/>
        </w:numPr>
        <w:spacing w:line="320" w:lineRule="atLeast"/>
      </w:pPr>
      <w:r>
        <w:t>create the future d</w:t>
      </w:r>
      <w:r w:rsidR="000E0441">
        <w:t xml:space="preserve">igital </w:t>
      </w:r>
      <w:r>
        <w:t>p</w:t>
      </w:r>
      <w:r w:rsidR="000E0441">
        <w:t xml:space="preserve">ublic </w:t>
      </w:r>
      <w:r>
        <w:t>l</w:t>
      </w:r>
      <w:r w:rsidR="000E0441">
        <w:t>ibrary</w:t>
      </w:r>
    </w:p>
    <w:p w:rsidR="000E0441" w:rsidRDefault="000E0441" w:rsidP="000E0441">
      <w:pPr>
        <w:pStyle w:val="ListParagraph"/>
        <w:numPr>
          <w:ilvl w:val="0"/>
          <w:numId w:val="35"/>
        </w:numPr>
        <w:spacing w:line="320" w:lineRule="atLeast"/>
      </w:pPr>
      <w:r>
        <w:t>re-imagine the next generation of public librarians</w:t>
      </w:r>
    </w:p>
    <w:p w:rsidR="00F701B2" w:rsidRDefault="000E0441" w:rsidP="000E0441">
      <w:pPr>
        <w:pStyle w:val="ListParagraph"/>
        <w:numPr>
          <w:ilvl w:val="0"/>
          <w:numId w:val="35"/>
        </w:numPr>
        <w:spacing w:line="320" w:lineRule="atLeast"/>
      </w:pPr>
      <w:r>
        <w:t xml:space="preserve">support and sustain initiatives which emerge through the </w:t>
      </w:r>
      <w:r w:rsidR="00D263B1">
        <w:t>enterprise</w:t>
      </w:r>
      <w:r>
        <w:t xml:space="preserve"> of others</w:t>
      </w:r>
    </w:p>
    <w:p w:rsidR="000E0441" w:rsidRDefault="000E700A" w:rsidP="000E0441">
      <w:pPr>
        <w:pStyle w:val="ListParagraph"/>
        <w:numPr>
          <w:ilvl w:val="0"/>
          <w:numId w:val="35"/>
        </w:numPr>
        <w:spacing w:line="320" w:lineRule="atLeast"/>
      </w:pPr>
      <w:r>
        <w:t>commission research that reveals library trends, demonstrates what works (or not), and which informs future development</w:t>
      </w:r>
    </w:p>
    <w:p w:rsidR="0050741F" w:rsidRDefault="0050741F" w:rsidP="0050741F">
      <w:pPr>
        <w:spacing w:line="320" w:lineRule="atLeast"/>
      </w:pPr>
      <w:r>
        <w:lastRenderedPageBreak/>
        <w:t>With an enhanced mandate to act on behalf of the sector</w:t>
      </w:r>
      <w:r w:rsidR="000E700A">
        <w:t xml:space="preserve"> for the benefit of those who use and need libraries</w:t>
      </w:r>
      <w:r>
        <w:t xml:space="preserve">, the capacity to open up </w:t>
      </w:r>
      <w:r w:rsidR="000E700A">
        <w:t>new ideas and drive forward programmes</w:t>
      </w:r>
      <w:r>
        <w:t>, and the capability to develo</w:t>
      </w:r>
      <w:r w:rsidR="000E700A">
        <w:t>p</w:t>
      </w:r>
      <w:r w:rsidR="00D263B1">
        <w:t xml:space="preserve"> ideas and</w:t>
      </w:r>
      <w:r w:rsidR="000E700A">
        <w:t xml:space="preserve"> negotiate deals on behalf of</w:t>
      </w:r>
      <w:r>
        <w:t xml:space="preserve"> the </w:t>
      </w:r>
      <w:r w:rsidR="000E700A">
        <w:t xml:space="preserve">whole </w:t>
      </w:r>
      <w:r>
        <w:t xml:space="preserve">sector, </w:t>
      </w:r>
      <w:r w:rsidR="00CB2382">
        <w:t>the strengthened library development agency</w:t>
      </w:r>
      <w:r>
        <w:t xml:space="preserve"> could deliver on these expectations and potential. </w:t>
      </w:r>
    </w:p>
    <w:p w:rsidR="000E0441" w:rsidRDefault="000E0441" w:rsidP="0050741F">
      <w:pPr>
        <w:spacing w:line="320" w:lineRule="atLeast"/>
      </w:pPr>
    </w:p>
    <w:p w:rsidR="00F035FF" w:rsidRPr="00680D87" w:rsidRDefault="00F035FF" w:rsidP="008A0FF2">
      <w:pPr>
        <w:pStyle w:val="ListParagraph"/>
        <w:numPr>
          <w:ilvl w:val="0"/>
          <w:numId w:val="20"/>
        </w:numPr>
        <w:spacing w:line="320" w:lineRule="atLeast"/>
        <w:rPr>
          <w:b/>
          <w:color w:val="FF388C"/>
        </w:rPr>
      </w:pPr>
      <w:r w:rsidRPr="00680D87">
        <w:rPr>
          <w:b/>
          <w:color w:val="FF388C"/>
        </w:rPr>
        <w:t>M</w:t>
      </w:r>
      <w:r w:rsidR="00680D87">
        <w:rPr>
          <w:b/>
          <w:color w:val="FF388C"/>
        </w:rPr>
        <w:t>odels elsewhere</w:t>
      </w:r>
    </w:p>
    <w:p w:rsidR="00680D87" w:rsidRDefault="00680D87" w:rsidP="001408D5">
      <w:pPr>
        <w:spacing w:line="320" w:lineRule="atLeast"/>
      </w:pPr>
    </w:p>
    <w:p w:rsidR="00F035FF" w:rsidRDefault="005945A4" w:rsidP="001408D5">
      <w:pPr>
        <w:spacing w:line="320" w:lineRule="atLeast"/>
      </w:pPr>
      <w:r>
        <w:t>O</w:t>
      </w:r>
      <w:r w:rsidR="00582D0C">
        <w:t xml:space="preserve">ther countries </w:t>
      </w:r>
      <w:r>
        <w:t>adopt</w:t>
      </w:r>
      <w:r w:rsidR="00582D0C">
        <w:t xml:space="preserve"> a wide range of approaches </w:t>
      </w:r>
      <w:r w:rsidR="001408D5">
        <w:t xml:space="preserve">to the oversight of library development </w:t>
      </w:r>
      <w:r>
        <w:t>without any single type</w:t>
      </w:r>
      <w:r w:rsidR="008D5932">
        <w:t xml:space="preserve"> offering a compelling transferrable model</w:t>
      </w:r>
      <w:r w:rsidR="00205B5F">
        <w:t>.</w:t>
      </w:r>
    </w:p>
    <w:p w:rsidR="00205B5F" w:rsidRDefault="00205B5F" w:rsidP="001408D5">
      <w:pPr>
        <w:spacing w:line="320" w:lineRule="atLeast"/>
      </w:pPr>
    </w:p>
    <w:p w:rsidR="00205B5F" w:rsidRDefault="00205B5F" w:rsidP="001408D5">
      <w:pPr>
        <w:spacing w:line="320" w:lineRule="atLeast"/>
      </w:pPr>
      <w:r w:rsidRPr="00680D87">
        <w:rPr>
          <w:b/>
          <w:color w:val="FF388C"/>
        </w:rPr>
        <w:t>Scotland</w:t>
      </w:r>
      <w:r w:rsidRPr="00680D87">
        <w:rPr>
          <w:color w:val="FF388C"/>
        </w:rPr>
        <w:t>:</w:t>
      </w:r>
      <w:r>
        <w:t xml:space="preserve"> Scottish Libraries and Information Council i</w:t>
      </w:r>
      <w:r w:rsidR="007D2709">
        <w:t>s an independent advisory body to the Scottish Government c</w:t>
      </w:r>
      <w:r>
        <w:t xml:space="preserve">overing academic and special </w:t>
      </w:r>
      <w:r w:rsidR="007D2709">
        <w:t xml:space="preserve">libraries, </w:t>
      </w:r>
      <w:r>
        <w:t>as well as public libraries</w:t>
      </w:r>
    </w:p>
    <w:p w:rsidR="00680D87" w:rsidRDefault="00680D87" w:rsidP="001408D5">
      <w:pPr>
        <w:spacing w:line="320" w:lineRule="atLeast"/>
        <w:rPr>
          <w:b/>
        </w:rPr>
      </w:pPr>
    </w:p>
    <w:p w:rsidR="00205B5F" w:rsidRDefault="00205B5F" w:rsidP="001408D5">
      <w:pPr>
        <w:spacing w:line="320" w:lineRule="atLeast"/>
      </w:pPr>
      <w:r w:rsidRPr="00680D87">
        <w:rPr>
          <w:b/>
          <w:color w:val="FF388C"/>
        </w:rPr>
        <w:t>Wales</w:t>
      </w:r>
      <w:r w:rsidRPr="00680D87">
        <w:rPr>
          <w:color w:val="FF388C"/>
        </w:rPr>
        <w:t>:</w:t>
      </w:r>
      <w:r>
        <w:t xml:space="preserve"> CyMAL is an agency within the Welsh Government reporting to the Minister of Culture</w:t>
      </w:r>
      <w:r w:rsidR="001B333A">
        <w:t xml:space="preserve"> </w:t>
      </w:r>
      <w:r w:rsidR="009207F9">
        <w:t>with a responsibility for developing and supporting non-national museums, archives and libraries.</w:t>
      </w:r>
    </w:p>
    <w:p w:rsidR="00680D87" w:rsidRDefault="00680D87" w:rsidP="001408D5">
      <w:pPr>
        <w:spacing w:line="320" w:lineRule="atLeast"/>
        <w:rPr>
          <w:b/>
        </w:rPr>
      </w:pPr>
    </w:p>
    <w:p w:rsidR="007D2709" w:rsidRDefault="007D2709" w:rsidP="001408D5">
      <w:pPr>
        <w:spacing w:line="320" w:lineRule="atLeast"/>
        <w:rPr>
          <w:b/>
        </w:rPr>
      </w:pPr>
      <w:r w:rsidRPr="007D2709">
        <w:rPr>
          <w:b/>
          <w:color w:val="FF388C"/>
        </w:rPr>
        <w:t>Northern Ireland:</w:t>
      </w:r>
      <w:r>
        <w:rPr>
          <w:b/>
        </w:rPr>
        <w:t xml:space="preserve"> </w:t>
      </w:r>
      <w:r w:rsidRPr="007D2709">
        <w:t>A single NI Library Authority sits within the Department of Culture, Arts and Leisure</w:t>
      </w:r>
      <w:r>
        <w:t xml:space="preserve"> (not as part of local government)</w:t>
      </w:r>
    </w:p>
    <w:p w:rsidR="007D2709" w:rsidRDefault="007D2709" w:rsidP="001408D5">
      <w:pPr>
        <w:spacing w:line="320" w:lineRule="atLeast"/>
        <w:rPr>
          <w:b/>
        </w:rPr>
      </w:pPr>
    </w:p>
    <w:p w:rsidR="00205B5F" w:rsidRDefault="00205B5F" w:rsidP="001408D5">
      <w:pPr>
        <w:spacing w:line="320" w:lineRule="atLeast"/>
      </w:pPr>
      <w:r w:rsidRPr="00680D87">
        <w:rPr>
          <w:b/>
          <w:color w:val="FF388C"/>
        </w:rPr>
        <w:t>Ireland</w:t>
      </w:r>
      <w:r w:rsidRPr="00680D87">
        <w:rPr>
          <w:color w:val="FF388C"/>
        </w:rPr>
        <w:t>:</w:t>
      </w:r>
      <w:r>
        <w:t xml:space="preserve"> Local Government Management Agency (includes public libraries) is part of the Department of Environment, Communities + Local Government</w:t>
      </w:r>
      <w:r w:rsidR="001B333A">
        <w:t xml:space="preserve"> with both developmental and income generating activity</w:t>
      </w:r>
    </w:p>
    <w:p w:rsidR="00680D87" w:rsidRDefault="00680D87" w:rsidP="001408D5">
      <w:pPr>
        <w:spacing w:line="320" w:lineRule="atLeast"/>
        <w:rPr>
          <w:b/>
        </w:rPr>
      </w:pPr>
    </w:p>
    <w:p w:rsidR="00205B5F" w:rsidRDefault="00205B5F" w:rsidP="001408D5">
      <w:pPr>
        <w:spacing w:line="320" w:lineRule="atLeast"/>
      </w:pPr>
      <w:r w:rsidRPr="00680D87">
        <w:rPr>
          <w:b/>
          <w:color w:val="FF388C"/>
        </w:rPr>
        <w:t>Denmark:</w:t>
      </w:r>
      <w:r w:rsidR="005945A4">
        <w:t xml:space="preserve"> Danish Agency for Culture</w:t>
      </w:r>
      <w:r>
        <w:t xml:space="preserve"> </w:t>
      </w:r>
      <w:r w:rsidR="007D2709">
        <w:t>appears</w:t>
      </w:r>
      <w:r>
        <w:t xml:space="preserve"> similar to the </w:t>
      </w:r>
      <w:r w:rsidR="005945A4">
        <w:t xml:space="preserve">England </w:t>
      </w:r>
      <w:r>
        <w:t>model</w:t>
      </w:r>
      <w:r w:rsidR="001B333A">
        <w:t xml:space="preserve"> but holds much wider functions</w:t>
      </w:r>
      <w:r w:rsidR="00BE0CC5">
        <w:t xml:space="preserve">: eg </w:t>
      </w:r>
      <w:r w:rsidR="005945A4">
        <w:t>it</w:t>
      </w:r>
      <w:r w:rsidR="00BE0CC5">
        <w:t xml:space="preserve"> </w:t>
      </w:r>
      <w:r w:rsidR="001B333A">
        <w:t>directly fund</w:t>
      </w:r>
      <w:r w:rsidR="005945A4">
        <w:t>s</w:t>
      </w:r>
      <w:r w:rsidR="001B333A">
        <w:t xml:space="preserve"> larger central libraries and </w:t>
      </w:r>
      <w:r w:rsidR="00BE0CC5">
        <w:t>commission</w:t>
      </w:r>
      <w:r w:rsidR="005945A4">
        <w:t>s</w:t>
      </w:r>
      <w:r w:rsidR="001B333A">
        <w:t xml:space="preserve"> </w:t>
      </w:r>
      <w:r w:rsidR="00BE0CC5">
        <w:t>a Danish Digital Library</w:t>
      </w:r>
    </w:p>
    <w:p w:rsidR="00680D87" w:rsidRDefault="00680D87" w:rsidP="001408D5">
      <w:pPr>
        <w:spacing w:line="320" w:lineRule="atLeast"/>
        <w:rPr>
          <w:b/>
        </w:rPr>
      </w:pPr>
    </w:p>
    <w:p w:rsidR="001B333A" w:rsidRDefault="001B333A" w:rsidP="001408D5">
      <w:pPr>
        <w:spacing w:line="320" w:lineRule="atLeast"/>
      </w:pPr>
      <w:r w:rsidRPr="00680D87">
        <w:rPr>
          <w:b/>
          <w:color w:val="FF388C"/>
        </w:rPr>
        <w:t>Sweden:</w:t>
      </w:r>
      <w:r>
        <w:t xml:space="preserve"> Swedish Arts Council ho</w:t>
      </w:r>
      <w:r w:rsidR="007D2709">
        <w:t>lds the development function for public libraries but this, and any</w:t>
      </w:r>
      <w:r>
        <w:t xml:space="preserve"> grant awards </w:t>
      </w:r>
      <w:r w:rsidR="007D2709">
        <w:t>are</w:t>
      </w:r>
      <w:r>
        <w:t xml:space="preserve"> limited in scope</w:t>
      </w:r>
      <w:r w:rsidR="007D2709">
        <w:t xml:space="preserve">. </w:t>
      </w:r>
    </w:p>
    <w:p w:rsidR="00680D87" w:rsidRPr="00855360" w:rsidRDefault="00680D87" w:rsidP="001408D5">
      <w:pPr>
        <w:spacing w:line="320" w:lineRule="atLeast"/>
        <w:rPr>
          <w:b/>
          <w:sz w:val="22"/>
          <w:szCs w:val="22"/>
        </w:rPr>
      </w:pPr>
    </w:p>
    <w:p w:rsidR="005945A4" w:rsidRDefault="005945A4" w:rsidP="001408D5">
      <w:pPr>
        <w:spacing w:line="320" w:lineRule="atLeast"/>
      </w:pPr>
      <w:r w:rsidRPr="00680D87">
        <w:rPr>
          <w:b/>
          <w:color w:val="FF388C"/>
        </w:rPr>
        <w:t>Netherlands</w:t>
      </w:r>
      <w:r w:rsidRPr="00680D87">
        <w:rPr>
          <w:color w:val="FF388C"/>
        </w:rPr>
        <w:t>:</w:t>
      </w:r>
      <w:r>
        <w:t xml:space="preserve"> National Library has a loose coordinating role in a context where libraries are not a statutory function and innovation is locally driven</w:t>
      </w:r>
    </w:p>
    <w:p w:rsidR="00680D87" w:rsidRPr="00855360" w:rsidRDefault="00680D87" w:rsidP="001408D5">
      <w:pPr>
        <w:spacing w:line="320" w:lineRule="atLeast"/>
        <w:rPr>
          <w:b/>
          <w:sz w:val="22"/>
          <w:szCs w:val="22"/>
        </w:rPr>
      </w:pPr>
    </w:p>
    <w:p w:rsidR="005945A4" w:rsidRDefault="005945A4" w:rsidP="001408D5">
      <w:pPr>
        <w:spacing w:line="320" w:lineRule="atLeast"/>
      </w:pPr>
      <w:r w:rsidRPr="00680D87">
        <w:rPr>
          <w:b/>
          <w:color w:val="FF388C"/>
        </w:rPr>
        <w:t>USA</w:t>
      </w:r>
      <w:r w:rsidRPr="00680D87">
        <w:rPr>
          <w:color w:val="FF388C"/>
        </w:rPr>
        <w:t>:</w:t>
      </w:r>
      <w:r>
        <w:t xml:space="preserve"> the </w:t>
      </w:r>
      <w:r w:rsidR="009207F9">
        <w:t>F</w:t>
      </w:r>
      <w:r>
        <w:t xml:space="preserve">ederal Institute of Museum and Library Services </w:t>
      </w:r>
      <w:proofErr w:type="gramStart"/>
      <w:r>
        <w:t>leads</w:t>
      </w:r>
      <w:proofErr w:type="gramEnd"/>
      <w:r>
        <w:t xml:space="preserve"> national policy and development activity, and provides development funds for State Libraries.</w:t>
      </w:r>
    </w:p>
    <w:p w:rsidR="00680D87" w:rsidRPr="00855360" w:rsidRDefault="00680D87" w:rsidP="001408D5">
      <w:pPr>
        <w:spacing w:line="320" w:lineRule="atLeast"/>
        <w:rPr>
          <w:b/>
          <w:sz w:val="22"/>
          <w:szCs w:val="22"/>
        </w:rPr>
      </w:pPr>
    </w:p>
    <w:p w:rsidR="00F035FF" w:rsidRPr="00855360" w:rsidRDefault="0061529F" w:rsidP="00855360">
      <w:pPr>
        <w:spacing w:line="320" w:lineRule="atLeast"/>
        <w:rPr>
          <w:sz w:val="4"/>
          <w:szCs w:val="4"/>
        </w:rPr>
      </w:pPr>
      <w:r w:rsidRPr="00680D87">
        <w:rPr>
          <w:b/>
          <w:color w:val="FF388C"/>
        </w:rPr>
        <w:t>Germany, Australia + Canada</w:t>
      </w:r>
      <w:r w:rsidRPr="0061529F">
        <w:t>:</w:t>
      </w:r>
      <w:r>
        <w:t xml:space="preserve"> public libraries a</w:t>
      </w:r>
      <w:r w:rsidR="00855360">
        <w:t>re led at individual state level</w:t>
      </w:r>
    </w:p>
    <w:sectPr w:rsidR="00F035FF" w:rsidRPr="00855360" w:rsidSect="00855360">
      <w:pgSz w:w="11906" w:h="16838"/>
      <w:pgMar w:top="1899" w:right="1701" w:bottom="1366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B6" w:rsidRDefault="000A05B6" w:rsidP="000E700A">
      <w:pPr>
        <w:spacing w:line="240" w:lineRule="auto"/>
      </w:pPr>
      <w:r>
        <w:separator/>
      </w:r>
    </w:p>
  </w:endnote>
  <w:endnote w:type="continuationSeparator" w:id="0">
    <w:p w:rsidR="000A05B6" w:rsidRDefault="000A05B6" w:rsidP="000E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B6" w:rsidRDefault="000A05B6" w:rsidP="000E700A">
      <w:pPr>
        <w:spacing w:line="240" w:lineRule="auto"/>
      </w:pPr>
      <w:r>
        <w:separator/>
      </w:r>
    </w:p>
  </w:footnote>
  <w:footnote w:type="continuationSeparator" w:id="0">
    <w:p w:rsidR="000A05B6" w:rsidRDefault="000A05B6" w:rsidP="000E7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FC"/>
    <w:multiLevelType w:val="hybridMultilevel"/>
    <w:tmpl w:val="30B4B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0"/>
    <w:multiLevelType w:val="hybridMultilevel"/>
    <w:tmpl w:val="3C42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2C50"/>
    <w:multiLevelType w:val="hybridMultilevel"/>
    <w:tmpl w:val="5F581C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C06A7"/>
    <w:multiLevelType w:val="hybridMultilevel"/>
    <w:tmpl w:val="A8CC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3516"/>
    <w:multiLevelType w:val="hybridMultilevel"/>
    <w:tmpl w:val="D862A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5811CC4"/>
    <w:multiLevelType w:val="hybridMultilevel"/>
    <w:tmpl w:val="C526F8A8"/>
    <w:lvl w:ilvl="0" w:tplc="8432EA00">
      <w:start w:val="1"/>
      <w:numFmt w:val="lowerRoman"/>
      <w:lvlText w:val="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C113E"/>
    <w:multiLevelType w:val="hybridMultilevel"/>
    <w:tmpl w:val="697E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51E07"/>
    <w:multiLevelType w:val="hybridMultilevel"/>
    <w:tmpl w:val="64F0D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B5624"/>
    <w:multiLevelType w:val="hybridMultilevel"/>
    <w:tmpl w:val="E34C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4572B"/>
    <w:multiLevelType w:val="hybridMultilevel"/>
    <w:tmpl w:val="A9EC6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D1F3F"/>
    <w:multiLevelType w:val="multilevel"/>
    <w:tmpl w:val="321CA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2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18143F"/>
    <w:multiLevelType w:val="hybridMultilevel"/>
    <w:tmpl w:val="D69C9EBA"/>
    <w:lvl w:ilvl="0" w:tplc="2AC05D3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98415F"/>
    <w:multiLevelType w:val="hybridMultilevel"/>
    <w:tmpl w:val="C6B0C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B68D5"/>
    <w:multiLevelType w:val="hybridMultilevel"/>
    <w:tmpl w:val="095C7B6C"/>
    <w:lvl w:ilvl="0" w:tplc="08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7">
    <w:nsid w:val="4DA616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CF060D"/>
    <w:multiLevelType w:val="hybridMultilevel"/>
    <w:tmpl w:val="061E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C51B6"/>
    <w:multiLevelType w:val="hybridMultilevel"/>
    <w:tmpl w:val="E8303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11A32"/>
    <w:multiLevelType w:val="hybridMultilevel"/>
    <w:tmpl w:val="4F361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552584"/>
    <w:multiLevelType w:val="hybridMultilevel"/>
    <w:tmpl w:val="C646EB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F67C06"/>
    <w:multiLevelType w:val="hybridMultilevel"/>
    <w:tmpl w:val="71FC63FE"/>
    <w:lvl w:ilvl="0" w:tplc="2AC05D3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5371C46"/>
    <w:multiLevelType w:val="hybridMultilevel"/>
    <w:tmpl w:val="64408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D185E5C"/>
    <w:multiLevelType w:val="hybridMultilevel"/>
    <w:tmpl w:val="4E08F038"/>
    <w:lvl w:ilvl="0" w:tplc="2AC05D3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5"/>
  </w:num>
  <w:num w:numId="13">
    <w:abstractNumId w:val="23"/>
  </w:num>
  <w:num w:numId="14">
    <w:abstractNumId w:val="12"/>
  </w:num>
  <w:num w:numId="15">
    <w:abstractNumId w:val="6"/>
  </w:num>
  <w:num w:numId="16">
    <w:abstractNumId w:val="19"/>
  </w:num>
  <w:num w:numId="17">
    <w:abstractNumId w:val="0"/>
  </w:num>
  <w:num w:numId="18">
    <w:abstractNumId w:val="17"/>
  </w:num>
  <w:num w:numId="19">
    <w:abstractNumId w:val="16"/>
  </w:num>
  <w:num w:numId="20">
    <w:abstractNumId w:val="10"/>
  </w:num>
  <w:num w:numId="21">
    <w:abstractNumId w:val="14"/>
  </w:num>
  <w:num w:numId="22">
    <w:abstractNumId w:val="3"/>
  </w:num>
  <w:num w:numId="23">
    <w:abstractNumId w:val="8"/>
  </w:num>
  <w:num w:numId="24">
    <w:abstractNumId w:val="1"/>
  </w:num>
  <w:num w:numId="25">
    <w:abstractNumId w:val="7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3"/>
  </w:num>
  <w:num w:numId="30">
    <w:abstractNumId w:val="2"/>
  </w:num>
  <w:num w:numId="31">
    <w:abstractNumId w:val="22"/>
  </w:num>
  <w:num w:numId="32">
    <w:abstractNumId w:val="26"/>
  </w:num>
  <w:num w:numId="33">
    <w:abstractNumId w:val="18"/>
  </w:num>
  <w:num w:numId="34">
    <w:abstractNumId w:val="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66"/>
    <w:rsid w:val="00090B0C"/>
    <w:rsid w:val="000A05B6"/>
    <w:rsid w:val="000E0441"/>
    <w:rsid w:val="000E700A"/>
    <w:rsid w:val="001408D5"/>
    <w:rsid w:val="001B333A"/>
    <w:rsid w:val="00205B5F"/>
    <w:rsid w:val="002810C0"/>
    <w:rsid w:val="00292AD3"/>
    <w:rsid w:val="002F2BD3"/>
    <w:rsid w:val="00391202"/>
    <w:rsid w:val="00447279"/>
    <w:rsid w:val="004535E8"/>
    <w:rsid w:val="00456EC7"/>
    <w:rsid w:val="0050741F"/>
    <w:rsid w:val="00582D0C"/>
    <w:rsid w:val="005945A4"/>
    <w:rsid w:val="0061529F"/>
    <w:rsid w:val="00680D87"/>
    <w:rsid w:val="00693CF1"/>
    <w:rsid w:val="006B5F4C"/>
    <w:rsid w:val="00700207"/>
    <w:rsid w:val="007D2709"/>
    <w:rsid w:val="00855360"/>
    <w:rsid w:val="00863CBC"/>
    <w:rsid w:val="00872366"/>
    <w:rsid w:val="00883AB5"/>
    <w:rsid w:val="008A0FF2"/>
    <w:rsid w:val="008A41A1"/>
    <w:rsid w:val="008C55EC"/>
    <w:rsid w:val="008D5932"/>
    <w:rsid w:val="008F7338"/>
    <w:rsid w:val="009207F9"/>
    <w:rsid w:val="00936A6A"/>
    <w:rsid w:val="00973943"/>
    <w:rsid w:val="00A2094C"/>
    <w:rsid w:val="00A43A83"/>
    <w:rsid w:val="00A619B6"/>
    <w:rsid w:val="00A70915"/>
    <w:rsid w:val="00BE0CC5"/>
    <w:rsid w:val="00BE3A6C"/>
    <w:rsid w:val="00BF2D7C"/>
    <w:rsid w:val="00C857D0"/>
    <w:rsid w:val="00CB149B"/>
    <w:rsid w:val="00CB2382"/>
    <w:rsid w:val="00D263B1"/>
    <w:rsid w:val="00E2069C"/>
    <w:rsid w:val="00E30F6D"/>
    <w:rsid w:val="00E42567"/>
    <w:rsid w:val="00F035FF"/>
    <w:rsid w:val="00F65DAF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F035FF"/>
    <w:pPr>
      <w:ind w:left="720"/>
      <w:contextualSpacing/>
    </w:pPr>
  </w:style>
  <w:style w:type="paragraph" w:customStyle="1" w:styleId="Default">
    <w:name w:val="Default"/>
    <w:rsid w:val="00680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F035FF"/>
    <w:pPr>
      <w:ind w:left="720"/>
      <w:contextualSpacing/>
    </w:pPr>
  </w:style>
  <w:style w:type="paragraph" w:customStyle="1" w:styleId="Default">
    <w:name w:val="Default"/>
    <w:rsid w:val="00680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7BE2BFE4</Template>
  <TotalTime>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Council England</dc:creator>
  <cp:lastModifiedBy>Guy Taylor</cp:lastModifiedBy>
  <cp:revision>2</cp:revision>
  <cp:lastPrinted>1998-09-28T15:30:00Z</cp:lastPrinted>
  <dcterms:created xsi:type="dcterms:W3CDTF">2014-09-17T11:34:00Z</dcterms:created>
  <dcterms:modified xsi:type="dcterms:W3CDTF">2014-09-17T11:34:00Z</dcterms:modified>
</cp:coreProperties>
</file>