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1420"/>
        <w:gridCol w:w="1255"/>
        <w:gridCol w:w="213"/>
        <w:gridCol w:w="1185"/>
        <w:gridCol w:w="214"/>
        <w:gridCol w:w="908"/>
        <w:gridCol w:w="210"/>
        <w:gridCol w:w="1354"/>
        <w:gridCol w:w="219"/>
        <w:gridCol w:w="1137"/>
        <w:gridCol w:w="211"/>
        <w:gridCol w:w="1147"/>
        <w:gridCol w:w="215"/>
        <w:gridCol w:w="1278"/>
      </w:tblGrid>
      <w:tr w:rsidR="00203CC2" w:rsidRPr="0094584A" w:rsidTr="002021EB">
        <w:tc>
          <w:tcPr>
            <w:tcW w:w="887" w:type="pct"/>
            <w:vMerge w:val="restart"/>
          </w:tcPr>
          <w:p w:rsidR="00203CC2" w:rsidRPr="0094584A" w:rsidRDefault="00203CC2">
            <w:pPr>
              <w:spacing w:line="320" w:lineRule="atLeast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3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082" w:type="pct"/>
            <w:gridSpan w:val="7"/>
          </w:tcPr>
          <w:p w:rsidR="00203CC2" w:rsidRPr="0094584A" w:rsidRDefault="00203CC2" w:rsidP="003906FE">
            <w:pPr>
              <w:spacing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94584A">
              <w:rPr>
                <w:rFonts w:cs="Arial"/>
                <w:b/>
                <w:sz w:val="22"/>
                <w:szCs w:val="22"/>
              </w:rPr>
              <w:t>CORE ROLES</w:t>
            </w:r>
          </w:p>
        </w:tc>
        <w:tc>
          <w:tcPr>
            <w:tcW w:w="602" w:type="pct"/>
            <w:gridSpan w:val="2"/>
          </w:tcPr>
          <w:p w:rsidR="00203CC2" w:rsidRPr="0094584A" w:rsidRDefault="00203CC2" w:rsidP="002021EB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 MUSIC EDUCATION PLAN</w:t>
            </w:r>
          </w:p>
        </w:tc>
        <w:tc>
          <w:tcPr>
            <w:tcW w:w="1429" w:type="pct"/>
            <w:gridSpan w:val="5"/>
          </w:tcPr>
          <w:p w:rsidR="00203CC2" w:rsidRPr="0094584A" w:rsidRDefault="00203CC2" w:rsidP="003906FE">
            <w:pPr>
              <w:spacing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94584A">
              <w:rPr>
                <w:rFonts w:cs="Arial"/>
                <w:b/>
                <w:sz w:val="22"/>
                <w:szCs w:val="22"/>
              </w:rPr>
              <w:t>EXTENSION ROLES</w:t>
            </w:r>
          </w:p>
        </w:tc>
      </w:tr>
      <w:tr w:rsidR="00203CC2" w:rsidRPr="0094584A" w:rsidTr="00203CC2">
        <w:tc>
          <w:tcPr>
            <w:tcW w:w="887" w:type="pct"/>
            <w:vMerge/>
          </w:tcPr>
          <w:p w:rsidR="00203CC2" w:rsidRPr="0094584A" w:rsidRDefault="00203CC2">
            <w:pPr>
              <w:spacing w:line="3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Ensure every child aged 5-18 has the opportunity to learn a musical instrument (other than voice) through whole-class ensemble teaching programmes for ideally a year (but for a minimum of a term) of weekly tuition on the same instrument.</w:t>
            </w:r>
          </w:p>
        </w:tc>
        <w:tc>
          <w:tcPr>
            <w:tcW w:w="564" w:type="pct"/>
            <w:gridSpan w:val="2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Provide opportunities to play in ensembles and to perform from an early stage.</w:t>
            </w:r>
          </w:p>
        </w:tc>
        <w:tc>
          <w:tcPr>
            <w:tcW w:w="540" w:type="pct"/>
            <w:gridSpan w:val="2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Ensure that clear progression routes are available and affordable to all young people.</w:t>
            </w:r>
          </w:p>
        </w:tc>
        <w:tc>
          <w:tcPr>
            <w:tcW w:w="436" w:type="pct"/>
            <w:gridSpan w:val="2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Develop a singing strategy to ensure that every pupil is singing regularly and that choirs and other vocal ensembles are available in the area.</w:t>
            </w:r>
          </w:p>
        </w:tc>
        <w:tc>
          <w:tcPr>
            <w:tcW w:w="602" w:type="pct"/>
            <w:gridSpan w:val="2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Every school is supported to deliver and monitor a high quality music curriculum.</w:t>
            </w:r>
          </w:p>
        </w:tc>
        <w:tc>
          <w:tcPr>
            <w:tcW w:w="523" w:type="pct"/>
            <w:gridSpan w:val="2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Offer CPD to school staff, particularly in supporting schools to deliver music in the curriculum.</w:t>
            </w:r>
          </w:p>
        </w:tc>
        <w:tc>
          <w:tcPr>
            <w:tcW w:w="384" w:type="pct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 xml:space="preserve">Provide an instrument loan service, with discounts or free provision for those on </w:t>
            </w:r>
            <w:r>
              <w:rPr>
                <w:rFonts w:cs="Arial"/>
                <w:sz w:val="14"/>
                <w:szCs w:val="14"/>
              </w:rPr>
              <w:t xml:space="preserve">a </w:t>
            </w:r>
            <w:r w:rsidRPr="0094584A">
              <w:rPr>
                <w:rFonts w:cs="Arial"/>
                <w:sz w:val="14"/>
                <w:szCs w:val="14"/>
              </w:rPr>
              <w:t>low income.</w:t>
            </w:r>
          </w:p>
        </w:tc>
        <w:tc>
          <w:tcPr>
            <w:tcW w:w="523" w:type="pct"/>
            <w:gridSpan w:val="2"/>
          </w:tcPr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94584A">
              <w:rPr>
                <w:rFonts w:cs="Arial"/>
                <w:sz w:val="14"/>
                <w:szCs w:val="14"/>
              </w:rPr>
              <w:t>Provide access to large scale and/or high quality music experiences for pupils, working with professional musicians and/or venues. This may include undertaking work to publicise the opportunities available to schools, parents/carers and students.</w:t>
            </w:r>
          </w:p>
          <w:p w:rsidR="00203CC2" w:rsidRPr="0094584A" w:rsidRDefault="00203CC2" w:rsidP="00174AF8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203CC2" w:rsidRPr="0094584A" w:rsidTr="00203CC2">
        <w:trPr>
          <w:trHeight w:val="5526"/>
        </w:trPr>
        <w:tc>
          <w:tcPr>
            <w:tcW w:w="887" w:type="pct"/>
            <w:shd w:val="clear" w:color="auto" w:fill="D9D9D9" w:themeFill="background1" w:themeFillShade="D9"/>
          </w:tcPr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4584A">
              <w:rPr>
                <w:rFonts w:cs="Arial"/>
                <w:b/>
                <w:sz w:val="18"/>
                <w:szCs w:val="18"/>
              </w:rPr>
              <w:t>PART A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i/>
                <w:sz w:val="28"/>
                <w:szCs w:val="28"/>
              </w:rPr>
            </w:pPr>
          </w:p>
          <w:p w:rsidR="00203CC2" w:rsidRPr="0094584A" w:rsidRDefault="00203CC2" w:rsidP="00B15013">
            <w:pPr>
              <w:spacing w:after="120" w:line="240" w:lineRule="auto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‘</w:t>
            </w:r>
            <w:r w:rsidRPr="0094584A">
              <w:rPr>
                <w:rFonts w:cs="Arial"/>
                <w:b/>
                <w:i/>
                <w:sz w:val="28"/>
                <w:szCs w:val="28"/>
              </w:rPr>
              <w:t>What is</w:t>
            </w:r>
            <w:r>
              <w:rPr>
                <w:rFonts w:cs="Arial"/>
                <w:b/>
                <w:i/>
                <w:sz w:val="28"/>
                <w:szCs w:val="28"/>
              </w:rPr>
              <w:t>’</w:t>
            </w:r>
          </w:p>
          <w:p w:rsidR="00203CC2" w:rsidRPr="0094584A" w:rsidRDefault="00203CC2" w:rsidP="00304A2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 xml:space="preserve">Identify and list the characteristics of the current hub provision against the </w:t>
            </w:r>
            <w:r w:rsidRPr="0094584A">
              <w:rPr>
                <w:rFonts w:cs="Arial"/>
                <w:b/>
                <w:sz w:val="18"/>
                <w:szCs w:val="18"/>
              </w:rPr>
              <w:t>core and extension roles</w:t>
            </w:r>
            <w:r w:rsidRPr="0094584A">
              <w:rPr>
                <w:rFonts w:cs="Arial"/>
                <w:sz w:val="18"/>
                <w:szCs w:val="18"/>
              </w:rPr>
              <w:t>.</w:t>
            </w:r>
          </w:p>
          <w:p w:rsidR="00203CC2" w:rsidRPr="0094584A" w:rsidRDefault="00203CC2" w:rsidP="00304A2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304A2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Consider the following: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quality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musical diversity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universal coverage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musical progression and opportunities in and out of school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accessibility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inclusivity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 xml:space="preserve">the way the hub works with the 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584A">
              <w:rPr>
                <w:rFonts w:cs="Arial"/>
                <w:sz w:val="18"/>
                <w:szCs w:val="18"/>
              </w:rPr>
              <w:t xml:space="preserve">ridge 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584A">
              <w:rPr>
                <w:rFonts w:cs="Arial"/>
                <w:sz w:val="18"/>
                <w:szCs w:val="18"/>
              </w:rPr>
              <w:t>rganisation around data</w:t>
            </w:r>
          </w:p>
          <w:p w:rsidR="00203CC2" w:rsidRPr="0094584A" w:rsidRDefault="00203CC2" w:rsidP="00304A24">
            <w:pPr>
              <w:numPr>
                <w:ilvl w:val="0"/>
                <w:numId w:val="15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the way the hub works also with partners to align and draw in funding streams</w:t>
            </w:r>
          </w:p>
          <w:p w:rsidR="00203CC2" w:rsidRPr="0094584A" w:rsidRDefault="00203CC2" w:rsidP="00304A2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0C5B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 xml:space="preserve">Draw on a range of </w:t>
            </w:r>
            <w:r w:rsidRPr="0094584A">
              <w:rPr>
                <w:rFonts w:cs="Arial"/>
                <w:b/>
                <w:sz w:val="18"/>
                <w:szCs w:val="18"/>
              </w:rPr>
              <w:t xml:space="preserve">data sources </w:t>
            </w:r>
            <w:r w:rsidRPr="0094584A">
              <w:rPr>
                <w:rFonts w:cs="Arial"/>
                <w:sz w:val="18"/>
                <w:szCs w:val="18"/>
              </w:rPr>
              <w:t>as suggested in the guidance notes.</w:t>
            </w:r>
          </w:p>
          <w:p w:rsidR="00203CC2" w:rsidRPr="0094584A" w:rsidRDefault="00203CC2" w:rsidP="000C5B2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0C5B2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0C5B2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</w:tcPr>
          <w:p w:rsidR="00203CC2" w:rsidRPr="0094584A" w:rsidRDefault="00203CC2" w:rsidP="00304A24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Provide first access tuition in 98/103 primary schools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source: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Arts Council England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 return.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shd w:val="clear" w:color="auto" w:fill="D9D9D9" w:themeFill="background1" w:themeFillShade="D9"/>
          </w:tcPr>
          <w:p w:rsidR="00203CC2" w:rsidRPr="0094584A" w:rsidRDefault="00203CC2" w:rsidP="000C5B29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Hub ensembles vary in quality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source: school observations, partner feedback.</w:t>
            </w:r>
          </w:p>
          <w:p w:rsidR="00203CC2" w:rsidRPr="0094584A" w:rsidRDefault="00203CC2">
            <w:pPr>
              <w:spacing w:line="320" w:lineRule="atLeast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shd w:val="clear" w:color="auto" w:fill="D9D9D9" w:themeFill="background1" w:themeFillShade="D9"/>
          </w:tcPr>
          <w:p w:rsidR="00203CC2" w:rsidRPr="0094584A" w:rsidRDefault="00203CC2" w:rsidP="000C5B29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Progression routes for young musicians studying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folk 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music are less established locally when compared to other genres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source: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Arts Council England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 return, young people survey, partner feedback.</w:t>
            </w:r>
          </w:p>
          <w:p w:rsidR="00203CC2" w:rsidRPr="0094584A" w:rsidRDefault="00203CC2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shd w:val="clear" w:color="auto" w:fill="D9D9D9" w:themeFill="background1" w:themeFillShade="D9"/>
          </w:tcPr>
          <w:p w:rsidR="00203CC2" w:rsidRPr="0094584A" w:rsidRDefault="00203CC2" w:rsidP="000C5B29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Singing strategies supported in 55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of all state schools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source: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Arts Council England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 return.</w:t>
            </w:r>
          </w:p>
          <w:p w:rsidR="00203CC2" w:rsidRPr="0094584A" w:rsidRDefault="00203CC2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:rsidR="00203CC2" w:rsidRPr="00203CC2" w:rsidRDefault="00203CC2" w:rsidP="00203CC2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203CC2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Eighty-seven percent of primary schools, seventy-nine percent of secondary schools, fifty percent of special schools and no Pupil Referral Units supported via the SMEP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source: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Arts Council England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 return.</w:t>
            </w:r>
          </w:p>
        </w:tc>
        <w:tc>
          <w:tcPr>
            <w:tcW w:w="523" w:type="pct"/>
            <w:gridSpan w:val="2"/>
            <w:shd w:val="clear" w:color="auto" w:fill="D9D9D9" w:themeFill="background1" w:themeFillShade="D9"/>
          </w:tcPr>
          <w:p w:rsidR="00203CC2" w:rsidRPr="0094584A" w:rsidRDefault="00203CC2" w:rsidP="00304A24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Sixty-five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of music teachers in the hub hold a professional qualification related to working with young people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source: Hub survey of music teachers.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:rsidR="00203CC2" w:rsidRPr="0094584A" w:rsidRDefault="00203CC2" w:rsidP="000C5B29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Hub hires out 1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,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500 instruments a week,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five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free of charge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source: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Arts Council England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 return, hub data, </w:t>
            </w:r>
            <w:proofErr w:type="gramStart"/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school</w:t>
            </w:r>
            <w:proofErr w:type="gramEnd"/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data.</w:t>
            </w:r>
          </w:p>
          <w:p w:rsidR="00203CC2" w:rsidRPr="0094584A" w:rsidRDefault="00203CC2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D9D9D9" w:themeFill="background1" w:themeFillShade="D9"/>
          </w:tcPr>
          <w:p w:rsidR="00203CC2" w:rsidRPr="0094584A" w:rsidRDefault="00203CC2" w:rsidP="000C5B29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Successful projects have been established with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National portfolio organisation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s and professionals, but sustaining this long term is a challenge –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source: partner feedback, young people feedback.</w:t>
            </w:r>
          </w:p>
          <w:p w:rsidR="00203CC2" w:rsidRPr="0094584A" w:rsidRDefault="00203CC2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203CC2" w:rsidRPr="0094584A" w:rsidTr="00203CC2">
        <w:trPr>
          <w:trHeight w:val="11798"/>
        </w:trPr>
        <w:tc>
          <w:tcPr>
            <w:tcW w:w="887" w:type="pct"/>
            <w:tcBorders>
              <w:bottom w:val="single" w:sz="4" w:space="0" w:color="000000" w:themeColor="text1"/>
            </w:tcBorders>
          </w:tcPr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4584A">
              <w:rPr>
                <w:rFonts w:cs="Arial"/>
                <w:b/>
                <w:sz w:val="18"/>
                <w:szCs w:val="18"/>
              </w:rPr>
              <w:t>PART B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i/>
                <w:sz w:val="28"/>
                <w:szCs w:val="28"/>
              </w:rPr>
            </w:pPr>
          </w:p>
          <w:p w:rsidR="00203CC2" w:rsidRPr="0094584A" w:rsidRDefault="00203CC2" w:rsidP="00B15013">
            <w:pPr>
              <w:spacing w:after="120" w:line="240" w:lineRule="auto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‘</w:t>
            </w:r>
            <w:r w:rsidRPr="0094584A">
              <w:rPr>
                <w:rFonts w:cs="Arial"/>
                <w:b/>
                <w:i/>
                <w:sz w:val="28"/>
                <w:szCs w:val="28"/>
              </w:rPr>
              <w:t>What should be</w:t>
            </w:r>
            <w:r>
              <w:rPr>
                <w:rFonts w:cs="Arial"/>
                <w:b/>
                <w:i/>
                <w:sz w:val="28"/>
                <w:szCs w:val="28"/>
              </w:rPr>
              <w:t>’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Using the hub provision identified in P</w:t>
            </w:r>
            <w:r>
              <w:rPr>
                <w:rFonts w:cs="Arial"/>
                <w:sz w:val="18"/>
                <w:szCs w:val="18"/>
              </w:rPr>
              <w:t>art</w:t>
            </w:r>
            <w:r w:rsidRPr="0094584A">
              <w:rPr>
                <w:rFonts w:cs="Arial"/>
                <w:sz w:val="18"/>
                <w:szCs w:val="18"/>
              </w:rPr>
              <w:t xml:space="preserve"> A, describe what the hub’s aspiration</w:t>
            </w:r>
            <w:r>
              <w:rPr>
                <w:rFonts w:cs="Arial"/>
                <w:sz w:val="18"/>
                <w:szCs w:val="18"/>
              </w:rPr>
              <w:t xml:space="preserve"> is</w:t>
            </w:r>
            <w:r w:rsidRPr="0094584A">
              <w:rPr>
                <w:rFonts w:cs="Arial"/>
                <w:sz w:val="18"/>
                <w:szCs w:val="18"/>
              </w:rPr>
              <w:t xml:space="preserve"> for it. 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You may wish to start considering timescales.</w:t>
            </w:r>
          </w:p>
        </w:tc>
        <w:tc>
          <w:tcPr>
            <w:tcW w:w="541" w:type="pct"/>
            <w:tcBorders>
              <w:bottom w:val="single" w:sz="4" w:space="0" w:color="000000" w:themeColor="text1"/>
            </w:tcBorders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Provide first access tuition in all 103 primary schools. </w:t>
            </w:r>
            <w:r w:rsidR="00E67BCB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By 2017</w:t>
            </w: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000000" w:themeColor="text1"/>
            </w:tcBorders>
          </w:tcPr>
          <w:p w:rsidR="00203CC2" w:rsidRPr="0094584A" w:rsidRDefault="00203CC2" w:rsidP="00831667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 hub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-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wide quality benchmark for ensembles. </w:t>
            </w:r>
            <w:r w:rsidR="00E67BCB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Ready for April</w:t>
            </w:r>
            <w:bookmarkStart w:id="0" w:name="_GoBack"/>
            <w:bookmarkEnd w:id="0"/>
            <w:r w:rsidR="00E67BCB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2017</w:t>
            </w:r>
          </w:p>
        </w:tc>
        <w:tc>
          <w:tcPr>
            <w:tcW w:w="540" w:type="pct"/>
            <w:gridSpan w:val="2"/>
            <w:tcBorders>
              <w:bottom w:val="single" w:sz="4" w:space="0" w:color="000000" w:themeColor="text1"/>
            </w:tcBorders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A developed understanding of progression routes for </w:t>
            </w:r>
            <w:r w:rsidR="00E02C05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folk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musicians locally. </w:t>
            </w:r>
          </w:p>
          <w:p w:rsidR="00203CC2" w:rsidRPr="0094584A" w:rsidRDefault="00203CC2" w:rsidP="0094584A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000000" w:themeColor="text1"/>
            </w:tcBorders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Singing strategies supported in all state schools. </w:t>
            </w:r>
          </w:p>
          <w:p w:rsidR="00203CC2" w:rsidRPr="0094584A" w:rsidRDefault="00203CC2" w:rsidP="0094584A">
            <w:pPr>
              <w:spacing w:line="320" w:lineRule="atLeast"/>
              <w:rPr>
                <w:rFonts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tcBorders>
              <w:bottom w:val="single" w:sz="4" w:space="0" w:color="000000" w:themeColor="text1"/>
            </w:tcBorders>
          </w:tcPr>
          <w:p w:rsidR="00203CC2" w:rsidRDefault="00E02C05" w:rsidP="00831667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Every school supported to deliver and monitor a high quality music curriculum</w:t>
            </w:r>
          </w:p>
          <w:p w:rsidR="00E02C05" w:rsidRPr="0094584A" w:rsidRDefault="00E67BCB" w:rsidP="00831667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b/>
                <w:color w:val="7F7F7F" w:themeColor="text1" w:themeTint="80"/>
                <w:sz w:val="18"/>
                <w:szCs w:val="18"/>
              </w:rPr>
              <w:t>By 2017</w:t>
            </w:r>
          </w:p>
        </w:tc>
        <w:tc>
          <w:tcPr>
            <w:tcW w:w="523" w:type="pct"/>
            <w:gridSpan w:val="2"/>
            <w:tcBorders>
              <w:bottom w:val="single" w:sz="4" w:space="0" w:color="000000" w:themeColor="text1"/>
            </w:tcBorders>
          </w:tcPr>
          <w:p w:rsidR="00203CC2" w:rsidRPr="0094584A" w:rsidRDefault="00203CC2" w:rsidP="00831667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All music teachers in the hub hold a professional qualification related to working with young people.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Increasing 10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per cent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each year.</w:t>
            </w:r>
          </w:p>
        </w:tc>
        <w:tc>
          <w:tcPr>
            <w:tcW w:w="384" w:type="pct"/>
            <w:tcBorders>
              <w:bottom w:val="single" w:sz="4" w:space="0" w:color="000000" w:themeColor="text1"/>
            </w:tcBorders>
          </w:tcPr>
          <w:p w:rsidR="00203CC2" w:rsidRPr="0094584A" w:rsidRDefault="00203CC2" w:rsidP="00CB72D8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Twenty-two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of instruments should be hired free of charge to reflect local level of young people on free school meals. </w:t>
            </w:r>
            <w:r w:rsidR="00E67BCB">
              <w:rPr>
                <w:rFonts w:cs="Arial"/>
                <w:b/>
                <w:color w:val="7F7F7F" w:themeColor="text1" w:themeTint="80"/>
                <w:sz w:val="18"/>
                <w:szCs w:val="18"/>
              </w:rPr>
              <w:t>By 20xx</w:t>
            </w:r>
          </w:p>
        </w:tc>
        <w:tc>
          <w:tcPr>
            <w:tcW w:w="523" w:type="pct"/>
            <w:gridSpan w:val="2"/>
            <w:tcBorders>
              <w:bottom w:val="single" w:sz="4" w:space="0" w:color="000000" w:themeColor="text1"/>
            </w:tcBorders>
          </w:tcPr>
          <w:p w:rsidR="00203CC2" w:rsidRPr="0094584A" w:rsidRDefault="00203CC2" w:rsidP="00831667">
            <w:pPr>
              <w:spacing w:line="240" w:lineRule="auto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 developed hub fundraising strategy to sustain partner projects related to professionals and venues.</w:t>
            </w:r>
          </w:p>
        </w:tc>
      </w:tr>
      <w:tr w:rsidR="00203CC2" w:rsidRPr="0094584A" w:rsidTr="00203CC2">
        <w:tc>
          <w:tcPr>
            <w:tcW w:w="887" w:type="pct"/>
            <w:shd w:val="clear" w:color="auto" w:fill="DBE5F1" w:themeFill="accent1" w:themeFillTint="33"/>
          </w:tcPr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4584A">
              <w:rPr>
                <w:rFonts w:cs="Arial"/>
                <w:b/>
                <w:sz w:val="18"/>
                <w:szCs w:val="18"/>
              </w:rPr>
              <w:t>PART C</w:t>
            </w:r>
          </w:p>
          <w:p w:rsidR="00203CC2" w:rsidRPr="0094584A" w:rsidRDefault="00203CC2" w:rsidP="00610E0D">
            <w:pPr>
              <w:spacing w:line="240" w:lineRule="auto"/>
              <w:rPr>
                <w:rFonts w:cs="Arial"/>
                <w:b/>
                <w:i/>
                <w:sz w:val="18"/>
                <w:szCs w:val="18"/>
              </w:rPr>
            </w:pPr>
          </w:p>
          <w:p w:rsidR="00203CC2" w:rsidRPr="0094584A" w:rsidRDefault="00203CC2" w:rsidP="00B15013">
            <w:pPr>
              <w:spacing w:after="120" w:line="240" w:lineRule="auto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‘</w:t>
            </w:r>
            <w:r w:rsidRPr="0094584A">
              <w:rPr>
                <w:rFonts w:cs="Arial"/>
                <w:b/>
                <w:i/>
                <w:sz w:val="28"/>
                <w:szCs w:val="28"/>
              </w:rPr>
              <w:t>What are the gaps?</w:t>
            </w:r>
            <w:r>
              <w:rPr>
                <w:rFonts w:cs="Arial"/>
                <w:b/>
                <w:i/>
                <w:sz w:val="28"/>
                <w:szCs w:val="28"/>
              </w:rPr>
              <w:t>’</w:t>
            </w: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Using the hub provision identified in P</w:t>
            </w:r>
            <w:r>
              <w:rPr>
                <w:rFonts w:cs="Arial"/>
                <w:sz w:val="18"/>
                <w:szCs w:val="18"/>
              </w:rPr>
              <w:t>art</w:t>
            </w:r>
            <w:r w:rsidRPr="0094584A">
              <w:rPr>
                <w:rFonts w:cs="Arial"/>
                <w:sz w:val="18"/>
                <w:szCs w:val="18"/>
              </w:rPr>
              <w:t xml:space="preserve"> B, describe what the gaps are in hub provision.</w:t>
            </w: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4A">
              <w:rPr>
                <w:rFonts w:cs="Arial"/>
                <w:sz w:val="18"/>
                <w:szCs w:val="18"/>
              </w:rPr>
              <w:t>You may wish to start considering who is be best placed in the hub to address this and how.</w:t>
            </w: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DBE5F1" w:themeFill="accent1" w:themeFillTint="33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Five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primary schools are not engaged with the hub or its first access programme.</w:t>
            </w: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– partners engaged in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primary schools’ 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local communities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79" w:type="pct"/>
            <w:shd w:val="clear" w:color="auto" w:fill="DBE5F1" w:themeFill="accent1" w:themeFillTint="33"/>
          </w:tcPr>
          <w:p w:rsidR="00203CC2" w:rsidRPr="0094584A" w:rsidRDefault="00203CC2" w:rsidP="00BD0D2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There is no hub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-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wide quality benchmark for ensembles. </w:t>
            </w: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– working group with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quality assurance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experience to draw up quality principles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540" w:type="pct"/>
            <w:gridSpan w:val="2"/>
            <w:shd w:val="clear" w:color="auto" w:fill="DBE5F1" w:themeFill="accent1" w:themeFillTint="33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There is no developed understanding of progression routes for </w:t>
            </w:r>
            <w:r w:rsidR="00E02C05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folk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musicians locally. </w:t>
            </w:r>
          </w:p>
          <w:p w:rsidR="00203CC2" w:rsidRPr="0094584A" w:rsidRDefault="00203CC2" w:rsidP="00CB72D8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Who - Partner who specialises in pop tasked with research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436" w:type="pct"/>
            <w:gridSpan w:val="2"/>
            <w:shd w:val="clear" w:color="auto" w:fill="DBE5F1" w:themeFill="accent1" w:themeFillTint="33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Singing strategies are not in place in 45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of state schools. </w:t>
            </w:r>
          </w:p>
          <w:p w:rsidR="00203CC2" w:rsidRPr="0094584A" w:rsidRDefault="00203CC2" w:rsidP="00142CCF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Who – Working group with singing expertise to develop action plan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DBE5F1" w:themeFill="accent1" w:themeFillTint="33"/>
          </w:tcPr>
          <w:p w:rsidR="00203CC2" w:rsidRDefault="00E02C05" w:rsidP="00BD0D2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Thirteen percent of primary schools, twenty one percent of secondary schools, fifty percent and one hundred percent of Pupil Referral Units are not supported. </w:t>
            </w:r>
          </w:p>
          <w:p w:rsidR="00E02C05" w:rsidRDefault="00E02C05" w:rsidP="00E02C05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–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Partner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ing with local school improvement board/head </w:t>
            </w:r>
            <w:proofErr w:type="gramStart"/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teachers</w:t>
            </w:r>
            <w:proofErr w:type="gramEnd"/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network to develop support and recruiting additional capacity to undertake audit and visits. </w:t>
            </w:r>
          </w:p>
        </w:tc>
        <w:tc>
          <w:tcPr>
            <w:tcW w:w="523" w:type="pct"/>
            <w:gridSpan w:val="2"/>
            <w:shd w:val="clear" w:color="auto" w:fill="DBE5F1" w:themeFill="accent1" w:themeFillTint="33"/>
          </w:tcPr>
          <w:p w:rsidR="00203CC2" w:rsidRPr="0094584A" w:rsidRDefault="00203CC2" w:rsidP="00BD0D2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Thirty-five per cent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r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a</w:t>
            </w: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ll music teachers in the hub do not hold a professional qualification related to working with young people. </w:t>
            </w:r>
          </w:p>
          <w:p w:rsidR="00203CC2" w:rsidRPr="0094584A" w:rsidRDefault="00203CC2" w:rsidP="0094584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– partners plan to deliver joint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continuing professional development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days sharing good practice working with young people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555" w:type="pct"/>
            <w:gridSpan w:val="3"/>
            <w:shd w:val="clear" w:color="auto" w:fill="DBE5F1" w:themeFill="accent1" w:themeFillTint="33"/>
          </w:tcPr>
          <w:p w:rsidR="00203CC2" w:rsidRPr="0094584A" w:rsidRDefault="00203CC2" w:rsidP="0094584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 xml:space="preserve">Not all young people entitled to free instrument hire are accessing it. </w:t>
            </w:r>
          </w:p>
          <w:p w:rsidR="00203CC2" w:rsidRPr="0094584A" w:rsidRDefault="00203CC2" w:rsidP="00142CCF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– partner who delivers instrument hire service to promote offer to targeted schools and out of school venues. </w:t>
            </w:r>
          </w:p>
        </w:tc>
        <w:tc>
          <w:tcPr>
            <w:tcW w:w="438" w:type="pct"/>
            <w:shd w:val="clear" w:color="auto" w:fill="DBE5F1" w:themeFill="accent1" w:themeFillTint="33"/>
          </w:tcPr>
          <w:p w:rsidR="00203CC2" w:rsidRPr="0094584A" w:rsidRDefault="00203CC2" w:rsidP="00BD0D2A">
            <w:pPr>
              <w:spacing w:line="240" w:lineRule="auto"/>
              <w:rPr>
                <w:rFonts w:cs="Arial"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i/>
                <w:color w:val="7F7F7F" w:themeColor="text1" w:themeTint="80"/>
                <w:sz w:val="18"/>
                <w:szCs w:val="18"/>
              </w:rPr>
              <w:t>Currently no developed hub fundraising strategy to sustain partner projects related to professionals and venues.</w:t>
            </w: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Who </w:t>
            </w:r>
            <w:r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>–</w:t>
            </w:r>
            <w:r w:rsidRPr="0094584A"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  <w:t xml:space="preserve"> working group with fundraising experience to develop strategy and identify funders.</w:t>
            </w: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  <w:p w:rsidR="00203CC2" w:rsidRPr="0094584A" w:rsidRDefault="00203CC2" w:rsidP="00BD0D2A">
            <w:pPr>
              <w:spacing w:line="240" w:lineRule="auto"/>
              <w:rPr>
                <w:rFonts w:cs="Arial"/>
                <w:b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627789" w:rsidRPr="0094584A" w:rsidRDefault="00627789">
      <w:pPr>
        <w:spacing w:line="320" w:lineRule="atLeast"/>
      </w:pPr>
    </w:p>
    <w:sectPr w:rsidR="00627789" w:rsidRPr="0094584A" w:rsidSect="004E424F">
      <w:headerReference w:type="default" r:id="rId8"/>
      <w:pgSz w:w="16834" w:h="11909" w:orient="landscape" w:code="9"/>
      <w:pgMar w:top="1279" w:right="1901" w:bottom="1699" w:left="1843" w:header="567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4A" w:rsidRDefault="0094584A" w:rsidP="004E424F">
      <w:pPr>
        <w:spacing w:line="240" w:lineRule="auto"/>
      </w:pPr>
      <w:r>
        <w:separator/>
      </w:r>
    </w:p>
  </w:endnote>
  <w:endnote w:type="continuationSeparator" w:id="0">
    <w:p w:rsidR="0094584A" w:rsidRDefault="0094584A" w:rsidP="004E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4A" w:rsidRDefault="0094584A" w:rsidP="004E424F">
      <w:pPr>
        <w:spacing w:line="240" w:lineRule="auto"/>
      </w:pPr>
      <w:r>
        <w:separator/>
      </w:r>
    </w:p>
  </w:footnote>
  <w:footnote w:type="continuationSeparator" w:id="0">
    <w:p w:rsidR="0094584A" w:rsidRDefault="0094584A" w:rsidP="004E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4A" w:rsidRDefault="0094584A" w:rsidP="004E424F">
    <w:pPr>
      <w:rPr>
        <w:sz w:val="36"/>
        <w:szCs w:val="36"/>
      </w:rPr>
    </w:pPr>
    <w:r w:rsidRPr="004E424F">
      <w:rPr>
        <w:sz w:val="36"/>
        <w:szCs w:val="36"/>
      </w:rPr>
      <w:t xml:space="preserve">Needs analysis </w:t>
    </w:r>
    <w:r>
      <w:rPr>
        <w:sz w:val="36"/>
        <w:szCs w:val="36"/>
      </w:rPr>
      <w:t>template</w:t>
    </w:r>
    <w:r w:rsidRPr="004E424F">
      <w:rPr>
        <w:sz w:val="36"/>
        <w:szCs w:val="36"/>
      </w:rPr>
      <w:t xml:space="preserve"> for Music education hubs</w:t>
    </w:r>
  </w:p>
  <w:p w:rsidR="0094584A" w:rsidRPr="004E424F" w:rsidRDefault="0094584A" w:rsidP="004E424F">
    <w:pPr>
      <w:rPr>
        <w:sz w:val="22"/>
        <w:szCs w:val="22"/>
      </w:rPr>
    </w:pPr>
    <w:r w:rsidRPr="004E424F">
      <w:rPr>
        <w:sz w:val="22"/>
        <w:szCs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31A7F"/>
    <w:multiLevelType w:val="hybridMultilevel"/>
    <w:tmpl w:val="6E90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FE"/>
    <w:rsid w:val="00014CC1"/>
    <w:rsid w:val="00096CCA"/>
    <w:rsid w:val="000C5B29"/>
    <w:rsid w:val="00142CCF"/>
    <w:rsid w:val="00174AF8"/>
    <w:rsid w:val="001D3652"/>
    <w:rsid w:val="002021EB"/>
    <w:rsid w:val="00203CC2"/>
    <w:rsid w:val="002B0BF0"/>
    <w:rsid w:val="00304A24"/>
    <w:rsid w:val="003906FE"/>
    <w:rsid w:val="0049694A"/>
    <w:rsid w:val="004C09C9"/>
    <w:rsid w:val="004D3E37"/>
    <w:rsid w:val="004E424F"/>
    <w:rsid w:val="00610E0D"/>
    <w:rsid w:val="00627789"/>
    <w:rsid w:val="006B2FA8"/>
    <w:rsid w:val="007713DB"/>
    <w:rsid w:val="00831667"/>
    <w:rsid w:val="008F6D74"/>
    <w:rsid w:val="0094584A"/>
    <w:rsid w:val="00A7520C"/>
    <w:rsid w:val="00B15013"/>
    <w:rsid w:val="00B86ADF"/>
    <w:rsid w:val="00BD0D2A"/>
    <w:rsid w:val="00C060D0"/>
    <w:rsid w:val="00CB72D8"/>
    <w:rsid w:val="00E02C05"/>
    <w:rsid w:val="00E14A26"/>
    <w:rsid w:val="00E67BCB"/>
    <w:rsid w:val="00ED3DA3"/>
    <w:rsid w:val="00FA45FD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558F5D-D0E7-4297-A073-8768ED26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89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627789"/>
    <w:pPr>
      <w:outlineLvl w:val="0"/>
    </w:pPr>
  </w:style>
  <w:style w:type="paragraph" w:styleId="Heading2">
    <w:name w:val="heading 2"/>
    <w:basedOn w:val="ACEHeading2"/>
    <w:next w:val="Normal"/>
    <w:qFormat/>
    <w:rsid w:val="00627789"/>
    <w:pPr>
      <w:outlineLvl w:val="1"/>
    </w:pPr>
  </w:style>
  <w:style w:type="paragraph" w:styleId="Heading3">
    <w:name w:val="heading 3"/>
    <w:basedOn w:val="ACEHeading3"/>
    <w:next w:val="Normal"/>
    <w:qFormat/>
    <w:rsid w:val="00627789"/>
    <w:pPr>
      <w:outlineLvl w:val="2"/>
    </w:pPr>
  </w:style>
  <w:style w:type="paragraph" w:styleId="Heading4">
    <w:name w:val="heading 4"/>
    <w:basedOn w:val="Normal"/>
    <w:next w:val="Normal"/>
    <w:qFormat/>
    <w:rsid w:val="0062778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2778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778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27789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27789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27789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627789"/>
  </w:style>
  <w:style w:type="paragraph" w:customStyle="1" w:styleId="ACEBodyText">
    <w:name w:val="ACE Body Text"/>
    <w:rsid w:val="00627789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627789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627789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627789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627789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6277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27789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627789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627789"/>
    <w:rPr>
      <w:b/>
      <w:bCs/>
    </w:rPr>
  </w:style>
  <w:style w:type="paragraph" w:styleId="CommentText">
    <w:name w:val="annotation text"/>
    <w:basedOn w:val="Normal"/>
    <w:semiHidden/>
    <w:rsid w:val="00627789"/>
    <w:rPr>
      <w:sz w:val="20"/>
    </w:rPr>
  </w:style>
  <w:style w:type="paragraph" w:styleId="DocumentMap">
    <w:name w:val="Document Map"/>
    <w:basedOn w:val="Normal"/>
    <w:semiHidden/>
    <w:rsid w:val="00627789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627789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627789"/>
    <w:rPr>
      <w:vertAlign w:val="superscript"/>
    </w:rPr>
  </w:style>
  <w:style w:type="paragraph" w:styleId="EndnoteText">
    <w:name w:val="endnote text"/>
    <w:basedOn w:val="Normal"/>
    <w:semiHidden/>
    <w:rsid w:val="00627789"/>
    <w:rPr>
      <w:sz w:val="20"/>
    </w:rPr>
  </w:style>
  <w:style w:type="paragraph" w:styleId="EnvelopeAddress">
    <w:name w:val="envelope address"/>
    <w:basedOn w:val="Normal"/>
    <w:semiHidden/>
    <w:rsid w:val="0062778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627789"/>
    <w:rPr>
      <w:sz w:val="20"/>
    </w:rPr>
  </w:style>
  <w:style w:type="paragraph" w:customStyle="1" w:styleId="File">
    <w:name w:val="File"/>
    <w:basedOn w:val="Normal"/>
    <w:rsid w:val="00627789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627789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rsid w:val="0062778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627789"/>
    <w:rPr>
      <w:vertAlign w:val="superscript"/>
    </w:rPr>
  </w:style>
  <w:style w:type="paragraph" w:styleId="FootnoteText">
    <w:name w:val="footnote text"/>
    <w:basedOn w:val="Normal"/>
    <w:semiHidden/>
    <w:rsid w:val="00627789"/>
    <w:rPr>
      <w:sz w:val="20"/>
    </w:rPr>
  </w:style>
  <w:style w:type="paragraph" w:styleId="Header">
    <w:name w:val="header"/>
    <w:basedOn w:val="Normal"/>
    <w:semiHidden/>
    <w:rsid w:val="0062778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627789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6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627789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627789"/>
    <w:pPr>
      <w:ind w:left="320" w:hanging="320"/>
    </w:pPr>
  </w:style>
  <w:style w:type="paragraph" w:styleId="TOAHeading">
    <w:name w:val="toa heading"/>
    <w:basedOn w:val="Normal"/>
    <w:next w:val="Normal"/>
    <w:semiHidden/>
    <w:rsid w:val="00627789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627789"/>
  </w:style>
  <w:style w:type="paragraph" w:styleId="TOC2">
    <w:name w:val="toc 2"/>
    <w:basedOn w:val="ACEHeading2"/>
    <w:next w:val="Normal"/>
    <w:semiHidden/>
    <w:rsid w:val="00627789"/>
    <w:pPr>
      <w:ind w:left="160"/>
    </w:pPr>
  </w:style>
  <w:style w:type="paragraph" w:styleId="TOC3">
    <w:name w:val="toc 3"/>
    <w:basedOn w:val="ACEHeading3"/>
    <w:next w:val="Normal"/>
    <w:semiHidden/>
    <w:rsid w:val="00627789"/>
    <w:pPr>
      <w:ind w:left="320"/>
    </w:pPr>
  </w:style>
  <w:style w:type="paragraph" w:styleId="TOC4">
    <w:name w:val="toc 4"/>
    <w:basedOn w:val="Normal"/>
    <w:next w:val="Normal"/>
    <w:semiHidden/>
    <w:rsid w:val="00627789"/>
    <w:pPr>
      <w:ind w:left="480"/>
    </w:pPr>
  </w:style>
  <w:style w:type="paragraph" w:styleId="TOC5">
    <w:name w:val="toc 5"/>
    <w:basedOn w:val="Normal"/>
    <w:next w:val="Normal"/>
    <w:semiHidden/>
    <w:rsid w:val="00627789"/>
    <w:pPr>
      <w:ind w:left="640"/>
    </w:pPr>
  </w:style>
  <w:style w:type="paragraph" w:styleId="TOC6">
    <w:name w:val="toc 6"/>
    <w:basedOn w:val="Normal"/>
    <w:next w:val="Normal"/>
    <w:semiHidden/>
    <w:rsid w:val="00627789"/>
    <w:pPr>
      <w:ind w:left="800"/>
    </w:pPr>
  </w:style>
  <w:style w:type="paragraph" w:styleId="TOC7">
    <w:name w:val="toc 7"/>
    <w:basedOn w:val="Normal"/>
    <w:next w:val="Normal"/>
    <w:semiHidden/>
    <w:rsid w:val="00627789"/>
    <w:pPr>
      <w:ind w:left="960"/>
    </w:pPr>
  </w:style>
  <w:style w:type="paragraph" w:styleId="TOC8">
    <w:name w:val="toc 8"/>
    <w:basedOn w:val="Normal"/>
    <w:next w:val="Normal"/>
    <w:semiHidden/>
    <w:rsid w:val="00627789"/>
    <w:pPr>
      <w:ind w:left="1120"/>
    </w:pPr>
  </w:style>
  <w:style w:type="paragraph" w:styleId="TOC9">
    <w:name w:val="toc 9"/>
    <w:basedOn w:val="Normal"/>
    <w:next w:val="Normal"/>
    <w:semiHidden/>
    <w:rsid w:val="00627789"/>
    <w:pPr>
      <w:ind w:left="1280"/>
    </w:pPr>
  </w:style>
  <w:style w:type="table" w:styleId="TableGrid">
    <w:name w:val="Table Grid"/>
    <w:basedOn w:val="TableNormal"/>
    <w:uiPriority w:val="59"/>
    <w:rsid w:val="003906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2B33-AB1E-4DC8-9559-0203CB9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kgrist</dc:creator>
  <cp:lastModifiedBy>Fran Matthews</cp:lastModifiedBy>
  <cp:revision>7</cp:revision>
  <cp:lastPrinted>2014-10-31T17:51:00Z</cp:lastPrinted>
  <dcterms:created xsi:type="dcterms:W3CDTF">2015-12-01T10:51:00Z</dcterms:created>
  <dcterms:modified xsi:type="dcterms:W3CDTF">2017-01-25T15:54:00Z</dcterms:modified>
</cp:coreProperties>
</file>