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D955B" w14:textId="7F02DC9B" w:rsidR="00993DE6" w:rsidRPr="00EB1D63" w:rsidRDefault="00993DE6" w:rsidP="008F55E5">
      <w:pPr>
        <w:spacing w:line="240" w:lineRule="auto"/>
        <w:rPr>
          <w:rFonts w:cs="Arial"/>
          <w:b/>
          <w:bCs/>
          <w:szCs w:val="24"/>
        </w:rPr>
      </w:pPr>
      <w:r w:rsidRPr="008F55E5">
        <w:rPr>
          <w:rFonts w:cs="Arial"/>
          <w:b/>
          <w:bCs/>
          <w:szCs w:val="24"/>
        </w:rPr>
        <w:t>Gender pay gap analysis</w:t>
      </w:r>
      <w:r w:rsidR="00AD7029" w:rsidRPr="008F55E5">
        <w:rPr>
          <w:rFonts w:cs="Arial"/>
          <w:b/>
          <w:bCs/>
          <w:szCs w:val="24"/>
        </w:rPr>
        <w:t xml:space="preserve"> – Arts Council England</w:t>
      </w:r>
    </w:p>
    <w:p w14:paraId="16479B48" w14:textId="2214F590" w:rsidR="00993DE6" w:rsidRPr="00EB1D63" w:rsidRDefault="00993DE6" w:rsidP="008F55E5">
      <w:pPr>
        <w:spacing w:line="240" w:lineRule="auto"/>
        <w:rPr>
          <w:rFonts w:cs="Arial"/>
          <w:b/>
          <w:bCs/>
          <w:szCs w:val="24"/>
        </w:rPr>
      </w:pPr>
      <w:r w:rsidRPr="008F55E5">
        <w:rPr>
          <w:rFonts w:cs="Arial"/>
          <w:b/>
          <w:bCs/>
          <w:szCs w:val="24"/>
        </w:rPr>
        <w:t>Figures as at 31 March 202</w:t>
      </w:r>
      <w:r w:rsidR="00193987" w:rsidRPr="008F55E5">
        <w:rPr>
          <w:rFonts w:cs="Arial"/>
          <w:b/>
          <w:bCs/>
          <w:szCs w:val="24"/>
        </w:rPr>
        <w:t>3</w:t>
      </w:r>
    </w:p>
    <w:p w14:paraId="660CDD51" w14:textId="41C6597E" w:rsidR="00993DE6" w:rsidRPr="00EB1D63" w:rsidRDefault="00993DE6" w:rsidP="008F55E5">
      <w:pPr>
        <w:spacing w:line="240" w:lineRule="auto"/>
        <w:rPr>
          <w:rFonts w:cs="Arial"/>
          <w:b/>
          <w:bCs/>
          <w:szCs w:val="24"/>
        </w:rPr>
      </w:pPr>
    </w:p>
    <w:tbl>
      <w:tblPr>
        <w:tblW w:w="8760" w:type="dxa"/>
        <w:tblLook w:val="04A0" w:firstRow="1" w:lastRow="0" w:firstColumn="1" w:lastColumn="0" w:noHBand="0" w:noVBand="1"/>
      </w:tblPr>
      <w:tblGrid>
        <w:gridCol w:w="960"/>
        <w:gridCol w:w="960"/>
        <w:gridCol w:w="960"/>
        <w:gridCol w:w="960"/>
        <w:gridCol w:w="960"/>
        <w:gridCol w:w="960"/>
        <w:gridCol w:w="960"/>
        <w:gridCol w:w="1035"/>
        <w:gridCol w:w="1005"/>
      </w:tblGrid>
      <w:tr w:rsidR="009C2C12" w:rsidRPr="00EB1D63" w14:paraId="59578F18" w14:textId="77777777" w:rsidTr="008F55E5">
        <w:trPr>
          <w:trHeight w:val="315"/>
        </w:trPr>
        <w:tc>
          <w:tcPr>
            <w:tcW w:w="4800" w:type="dxa"/>
            <w:gridSpan w:val="5"/>
            <w:tcBorders>
              <w:top w:val="nil"/>
              <w:left w:val="nil"/>
              <w:bottom w:val="nil"/>
              <w:right w:val="nil"/>
            </w:tcBorders>
            <w:shd w:val="clear" w:color="auto" w:fill="FFFFFF" w:themeFill="background1"/>
            <w:noWrap/>
            <w:vAlign w:val="bottom"/>
            <w:hideMark/>
          </w:tcPr>
          <w:p w14:paraId="57A2BEDF" w14:textId="5B016D98" w:rsidR="009C2C12" w:rsidRPr="00EB1D63" w:rsidRDefault="009C2C12" w:rsidP="008F55E5">
            <w:pPr>
              <w:spacing w:line="240" w:lineRule="auto"/>
              <w:rPr>
                <w:rFonts w:cs="Arial"/>
                <w:b/>
                <w:bCs/>
                <w:color w:val="000000"/>
                <w:szCs w:val="24"/>
                <w:lang w:eastAsia="en-GB"/>
              </w:rPr>
            </w:pPr>
          </w:p>
        </w:tc>
        <w:tc>
          <w:tcPr>
            <w:tcW w:w="960" w:type="dxa"/>
            <w:tcBorders>
              <w:top w:val="nil"/>
              <w:left w:val="nil"/>
              <w:bottom w:val="nil"/>
              <w:right w:val="nil"/>
            </w:tcBorders>
            <w:shd w:val="clear" w:color="auto" w:fill="FFFFFF" w:themeFill="background1"/>
            <w:noWrap/>
            <w:vAlign w:val="bottom"/>
            <w:hideMark/>
          </w:tcPr>
          <w:p w14:paraId="19815857" w14:textId="77777777" w:rsidR="009C2C12" w:rsidRPr="00EB1D63" w:rsidRDefault="009C2C12" w:rsidP="008F55E5">
            <w:pPr>
              <w:spacing w:line="240" w:lineRule="auto"/>
              <w:rPr>
                <w:rFonts w:cs="Arial"/>
                <w:b/>
                <w:bCs/>
                <w:color w:val="000000"/>
                <w:szCs w:val="24"/>
                <w:lang w:eastAsia="en-GB"/>
              </w:rPr>
            </w:pPr>
            <w:r w:rsidRPr="008F55E5">
              <w:rPr>
                <w:rFonts w:cs="Arial"/>
                <w:b/>
                <w:bCs/>
                <w:color w:val="000000" w:themeColor="text1"/>
                <w:szCs w:val="24"/>
                <w:lang w:eastAsia="en-GB"/>
              </w:rPr>
              <w:t> </w:t>
            </w:r>
          </w:p>
        </w:tc>
        <w:tc>
          <w:tcPr>
            <w:tcW w:w="960" w:type="dxa"/>
            <w:tcBorders>
              <w:top w:val="nil"/>
              <w:left w:val="nil"/>
              <w:bottom w:val="nil"/>
              <w:right w:val="nil"/>
            </w:tcBorders>
            <w:shd w:val="clear" w:color="auto" w:fill="FFFFFF" w:themeFill="background1"/>
            <w:noWrap/>
            <w:vAlign w:val="bottom"/>
            <w:hideMark/>
          </w:tcPr>
          <w:p w14:paraId="1226C797" w14:textId="77777777" w:rsidR="009C2C12" w:rsidRPr="00EB1D63" w:rsidRDefault="009C2C12" w:rsidP="008F55E5">
            <w:pPr>
              <w:spacing w:line="240" w:lineRule="auto"/>
              <w:rPr>
                <w:rFonts w:cs="Arial"/>
                <w:b/>
                <w:bCs/>
                <w:color w:val="000000"/>
                <w:szCs w:val="24"/>
                <w:lang w:eastAsia="en-GB"/>
              </w:rPr>
            </w:pPr>
            <w:r w:rsidRPr="008F55E5">
              <w:rPr>
                <w:rFonts w:cs="Arial"/>
                <w:b/>
                <w:bCs/>
                <w:color w:val="000000" w:themeColor="text1"/>
                <w:szCs w:val="24"/>
                <w:lang w:eastAsia="en-GB"/>
              </w:rPr>
              <w:t> </w:t>
            </w:r>
          </w:p>
        </w:tc>
        <w:tc>
          <w:tcPr>
            <w:tcW w:w="1035" w:type="dxa"/>
            <w:tcBorders>
              <w:top w:val="nil"/>
              <w:left w:val="nil"/>
              <w:bottom w:val="nil"/>
              <w:right w:val="nil"/>
            </w:tcBorders>
            <w:shd w:val="clear" w:color="auto" w:fill="FFFFFF" w:themeFill="background1"/>
            <w:noWrap/>
            <w:vAlign w:val="bottom"/>
            <w:hideMark/>
          </w:tcPr>
          <w:p w14:paraId="74C3B85B" w14:textId="77777777" w:rsidR="009C2C12" w:rsidRPr="00EB1D63" w:rsidRDefault="009C2C12" w:rsidP="008F55E5">
            <w:pPr>
              <w:spacing w:line="240" w:lineRule="auto"/>
              <w:rPr>
                <w:rFonts w:cs="Arial"/>
                <w:b/>
                <w:bCs/>
                <w:color w:val="000000"/>
                <w:szCs w:val="24"/>
                <w:lang w:eastAsia="en-GB"/>
              </w:rPr>
            </w:pPr>
            <w:r w:rsidRPr="008F55E5">
              <w:rPr>
                <w:rFonts w:cs="Arial"/>
                <w:b/>
                <w:bCs/>
                <w:color w:val="000000" w:themeColor="text1"/>
                <w:szCs w:val="24"/>
                <w:lang w:eastAsia="en-GB"/>
              </w:rPr>
              <w:t> </w:t>
            </w:r>
          </w:p>
        </w:tc>
        <w:tc>
          <w:tcPr>
            <w:tcW w:w="1005" w:type="dxa"/>
            <w:tcBorders>
              <w:top w:val="nil"/>
              <w:left w:val="nil"/>
              <w:bottom w:val="nil"/>
              <w:right w:val="nil"/>
            </w:tcBorders>
            <w:shd w:val="clear" w:color="auto" w:fill="FFFFFF" w:themeFill="background1"/>
            <w:noWrap/>
            <w:vAlign w:val="bottom"/>
            <w:hideMark/>
          </w:tcPr>
          <w:p w14:paraId="1384665C" w14:textId="77777777" w:rsidR="009C2C12" w:rsidRPr="00EB1D63" w:rsidRDefault="009C2C12" w:rsidP="008F55E5">
            <w:pPr>
              <w:spacing w:line="240" w:lineRule="auto"/>
              <w:rPr>
                <w:rFonts w:cs="Arial"/>
                <w:b/>
                <w:bCs/>
                <w:color w:val="000000"/>
                <w:szCs w:val="24"/>
                <w:lang w:eastAsia="en-GB"/>
              </w:rPr>
            </w:pPr>
            <w:r w:rsidRPr="008F55E5">
              <w:rPr>
                <w:rFonts w:cs="Arial"/>
                <w:b/>
                <w:bCs/>
                <w:color w:val="000000" w:themeColor="text1"/>
                <w:szCs w:val="24"/>
                <w:lang w:eastAsia="en-GB"/>
              </w:rPr>
              <w:t> </w:t>
            </w:r>
          </w:p>
        </w:tc>
      </w:tr>
      <w:tr w:rsidR="009C2C12" w:rsidRPr="00EB1D63" w14:paraId="17064D02" w14:textId="77777777" w:rsidTr="008F55E5">
        <w:trPr>
          <w:trHeight w:val="315"/>
        </w:trPr>
        <w:tc>
          <w:tcPr>
            <w:tcW w:w="960" w:type="dxa"/>
            <w:tcBorders>
              <w:top w:val="nil"/>
              <w:left w:val="nil"/>
              <w:bottom w:val="nil"/>
              <w:right w:val="nil"/>
            </w:tcBorders>
            <w:shd w:val="clear" w:color="auto" w:fill="FFFFFF" w:themeFill="background1"/>
            <w:noWrap/>
            <w:vAlign w:val="bottom"/>
            <w:hideMark/>
          </w:tcPr>
          <w:p w14:paraId="0F1963FD"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 </w:t>
            </w:r>
          </w:p>
        </w:tc>
        <w:tc>
          <w:tcPr>
            <w:tcW w:w="960" w:type="dxa"/>
            <w:tcBorders>
              <w:top w:val="nil"/>
              <w:left w:val="nil"/>
              <w:bottom w:val="nil"/>
              <w:right w:val="nil"/>
            </w:tcBorders>
            <w:shd w:val="clear" w:color="auto" w:fill="FFFFFF" w:themeFill="background1"/>
            <w:noWrap/>
            <w:vAlign w:val="bottom"/>
            <w:hideMark/>
          </w:tcPr>
          <w:p w14:paraId="5C1D9356"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 </w:t>
            </w:r>
          </w:p>
        </w:tc>
        <w:tc>
          <w:tcPr>
            <w:tcW w:w="960" w:type="dxa"/>
            <w:tcBorders>
              <w:top w:val="nil"/>
              <w:left w:val="nil"/>
              <w:bottom w:val="nil"/>
              <w:right w:val="nil"/>
            </w:tcBorders>
            <w:shd w:val="clear" w:color="auto" w:fill="FFFFFF" w:themeFill="background1"/>
            <w:noWrap/>
            <w:vAlign w:val="bottom"/>
            <w:hideMark/>
          </w:tcPr>
          <w:p w14:paraId="75AA2D72"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 </w:t>
            </w:r>
          </w:p>
        </w:tc>
        <w:tc>
          <w:tcPr>
            <w:tcW w:w="960" w:type="dxa"/>
            <w:tcBorders>
              <w:top w:val="nil"/>
              <w:left w:val="nil"/>
              <w:bottom w:val="nil"/>
              <w:right w:val="nil"/>
            </w:tcBorders>
            <w:shd w:val="clear" w:color="auto" w:fill="FFFFFF" w:themeFill="background1"/>
            <w:noWrap/>
            <w:vAlign w:val="bottom"/>
            <w:hideMark/>
          </w:tcPr>
          <w:p w14:paraId="1C9E5B23"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 </w:t>
            </w:r>
          </w:p>
        </w:tc>
        <w:tc>
          <w:tcPr>
            <w:tcW w:w="960" w:type="dxa"/>
            <w:tcBorders>
              <w:top w:val="nil"/>
              <w:left w:val="nil"/>
              <w:bottom w:val="nil"/>
              <w:right w:val="nil"/>
            </w:tcBorders>
            <w:shd w:val="clear" w:color="auto" w:fill="FFFFFF" w:themeFill="background1"/>
            <w:noWrap/>
            <w:vAlign w:val="bottom"/>
            <w:hideMark/>
          </w:tcPr>
          <w:p w14:paraId="021B16C6"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 </w:t>
            </w:r>
          </w:p>
        </w:tc>
        <w:tc>
          <w:tcPr>
            <w:tcW w:w="960" w:type="dxa"/>
            <w:tcBorders>
              <w:top w:val="nil"/>
              <w:left w:val="nil"/>
              <w:bottom w:val="nil"/>
              <w:right w:val="nil"/>
            </w:tcBorders>
            <w:shd w:val="clear" w:color="auto" w:fill="FFFFFF" w:themeFill="background1"/>
            <w:noWrap/>
            <w:vAlign w:val="bottom"/>
            <w:hideMark/>
          </w:tcPr>
          <w:p w14:paraId="6445613A"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 </w:t>
            </w:r>
          </w:p>
        </w:tc>
        <w:tc>
          <w:tcPr>
            <w:tcW w:w="960" w:type="dxa"/>
            <w:tcBorders>
              <w:top w:val="nil"/>
              <w:left w:val="nil"/>
              <w:bottom w:val="nil"/>
              <w:right w:val="nil"/>
            </w:tcBorders>
            <w:shd w:val="clear" w:color="auto" w:fill="FFFFFF" w:themeFill="background1"/>
            <w:noWrap/>
            <w:vAlign w:val="bottom"/>
            <w:hideMark/>
          </w:tcPr>
          <w:p w14:paraId="54AFC9DC"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 </w:t>
            </w:r>
          </w:p>
        </w:tc>
        <w:tc>
          <w:tcPr>
            <w:tcW w:w="1035" w:type="dxa"/>
            <w:tcBorders>
              <w:top w:val="nil"/>
              <w:left w:val="nil"/>
              <w:bottom w:val="nil"/>
              <w:right w:val="nil"/>
            </w:tcBorders>
            <w:shd w:val="clear" w:color="auto" w:fill="FFFFFF" w:themeFill="background1"/>
            <w:noWrap/>
            <w:vAlign w:val="bottom"/>
            <w:hideMark/>
          </w:tcPr>
          <w:p w14:paraId="76DFDAF4"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 </w:t>
            </w:r>
          </w:p>
        </w:tc>
        <w:tc>
          <w:tcPr>
            <w:tcW w:w="1005" w:type="dxa"/>
            <w:tcBorders>
              <w:top w:val="nil"/>
              <w:left w:val="nil"/>
              <w:bottom w:val="nil"/>
              <w:right w:val="nil"/>
            </w:tcBorders>
            <w:shd w:val="clear" w:color="auto" w:fill="FFFFFF" w:themeFill="background1"/>
            <w:noWrap/>
            <w:vAlign w:val="bottom"/>
            <w:hideMark/>
          </w:tcPr>
          <w:p w14:paraId="04DFC146"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 </w:t>
            </w:r>
          </w:p>
        </w:tc>
      </w:tr>
      <w:tr w:rsidR="009C2C12" w:rsidRPr="00EB1D63" w14:paraId="24CE3EB3" w14:textId="77777777" w:rsidTr="008F55E5">
        <w:trPr>
          <w:trHeight w:val="300"/>
        </w:trPr>
        <w:tc>
          <w:tcPr>
            <w:tcW w:w="7755" w:type="dxa"/>
            <w:gridSpan w:val="8"/>
            <w:tcBorders>
              <w:top w:val="single" w:sz="4" w:space="0" w:color="auto"/>
              <w:left w:val="single" w:sz="4" w:space="0" w:color="auto"/>
              <w:bottom w:val="single" w:sz="4" w:space="0" w:color="auto"/>
              <w:right w:val="single" w:sz="4" w:space="0" w:color="000000" w:themeColor="text1"/>
            </w:tcBorders>
            <w:shd w:val="clear" w:color="auto" w:fill="A6A6A6" w:themeFill="background1" w:themeFillShade="A6"/>
            <w:noWrap/>
            <w:vAlign w:val="bottom"/>
            <w:hideMark/>
          </w:tcPr>
          <w:p w14:paraId="67C51081" w14:textId="77777777" w:rsidR="009C2C12" w:rsidRPr="00EB1D63" w:rsidRDefault="009C2C12" w:rsidP="008F55E5">
            <w:pPr>
              <w:spacing w:line="240" w:lineRule="auto"/>
              <w:jc w:val="center"/>
              <w:rPr>
                <w:rFonts w:cs="Arial"/>
                <w:color w:val="000000"/>
                <w:szCs w:val="24"/>
                <w:lang w:eastAsia="en-GB"/>
              </w:rPr>
            </w:pPr>
            <w:r w:rsidRPr="008F55E5">
              <w:rPr>
                <w:rFonts w:cs="Arial"/>
                <w:color w:val="000000" w:themeColor="text1"/>
                <w:szCs w:val="24"/>
                <w:lang w:eastAsia="en-GB"/>
              </w:rPr>
              <w:t> </w:t>
            </w:r>
          </w:p>
        </w:tc>
        <w:tc>
          <w:tcPr>
            <w:tcW w:w="1005"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0E170958" w14:textId="77777777" w:rsidR="009C2C12" w:rsidRPr="00EB1D63" w:rsidRDefault="009C2C12" w:rsidP="008F55E5">
            <w:pPr>
              <w:spacing w:line="240" w:lineRule="auto"/>
              <w:jc w:val="center"/>
              <w:rPr>
                <w:rFonts w:cs="Arial"/>
                <w:b/>
                <w:bCs/>
                <w:color w:val="FFFFFF"/>
                <w:szCs w:val="24"/>
                <w:lang w:eastAsia="en-GB"/>
              </w:rPr>
            </w:pPr>
            <w:r w:rsidRPr="008F55E5">
              <w:rPr>
                <w:rFonts w:cs="Arial"/>
                <w:b/>
                <w:bCs/>
                <w:color w:val="FFFFFF" w:themeColor="background1"/>
                <w:szCs w:val="24"/>
                <w:lang w:eastAsia="en-GB"/>
              </w:rPr>
              <w:t>%</w:t>
            </w:r>
          </w:p>
        </w:tc>
      </w:tr>
      <w:tr w:rsidR="009C2C12" w:rsidRPr="00EB1D63" w14:paraId="1F4C220D" w14:textId="77777777" w:rsidTr="008F55E5">
        <w:trPr>
          <w:trHeight w:val="300"/>
        </w:trPr>
        <w:tc>
          <w:tcPr>
            <w:tcW w:w="7755" w:type="dxa"/>
            <w:gridSpan w:val="8"/>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174828AE"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1. Mean gender pay gap - Ordinary pay</w:t>
            </w:r>
          </w:p>
        </w:tc>
        <w:tc>
          <w:tcPr>
            <w:tcW w:w="1005" w:type="dxa"/>
            <w:tcBorders>
              <w:top w:val="nil"/>
              <w:left w:val="nil"/>
              <w:bottom w:val="single" w:sz="4" w:space="0" w:color="auto"/>
              <w:right w:val="single" w:sz="4" w:space="0" w:color="auto"/>
            </w:tcBorders>
            <w:shd w:val="clear" w:color="auto" w:fill="FFFFFF" w:themeFill="background1"/>
            <w:noWrap/>
            <w:vAlign w:val="bottom"/>
            <w:hideMark/>
          </w:tcPr>
          <w:p w14:paraId="464D51E9" w14:textId="77777777" w:rsidR="009C2C12" w:rsidRPr="00EB1D63" w:rsidRDefault="009C2C12" w:rsidP="008F55E5">
            <w:pPr>
              <w:spacing w:line="240" w:lineRule="auto"/>
              <w:jc w:val="right"/>
              <w:rPr>
                <w:rFonts w:cs="Arial"/>
                <w:b/>
                <w:bCs/>
                <w:szCs w:val="24"/>
                <w:lang w:eastAsia="en-GB"/>
              </w:rPr>
            </w:pPr>
            <w:r w:rsidRPr="008F55E5">
              <w:rPr>
                <w:rFonts w:cs="Arial"/>
                <w:b/>
                <w:bCs/>
                <w:szCs w:val="24"/>
                <w:lang w:eastAsia="en-GB"/>
              </w:rPr>
              <w:t>8.2%</w:t>
            </w:r>
          </w:p>
        </w:tc>
      </w:tr>
      <w:tr w:rsidR="009C2C12" w:rsidRPr="00EB1D63" w14:paraId="6B1E8940" w14:textId="77777777" w:rsidTr="008F55E5">
        <w:trPr>
          <w:trHeight w:val="300"/>
        </w:trPr>
        <w:tc>
          <w:tcPr>
            <w:tcW w:w="7755" w:type="dxa"/>
            <w:gridSpan w:val="8"/>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46C30E5C"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2. Median gender pay gap - Ordinary pay</w:t>
            </w:r>
          </w:p>
        </w:tc>
        <w:tc>
          <w:tcPr>
            <w:tcW w:w="1005" w:type="dxa"/>
            <w:tcBorders>
              <w:top w:val="nil"/>
              <w:left w:val="nil"/>
              <w:bottom w:val="single" w:sz="4" w:space="0" w:color="auto"/>
              <w:right w:val="single" w:sz="4" w:space="0" w:color="auto"/>
            </w:tcBorders>
            <w:shd w:val="clear" w:color="auto" w:fill="FFFFFF" w:themeFill="background1"/>
            <w:noWrap/>
            <w:vAlign w:val="bottom"/>
            <w:hideMark/>
          </w:tcPr>
          <w:p w14:paraId="440ABDC2" w14:textId="77777777" w:rsidR="009C2C12" w:rsidRPr="00EB1D63" w:rsidRDefault="009C2C12" w:rsidP="008F55E5">
            <w:pPr>
              <w:spacing w:line="240" w:lineRule="auto"/>
              <w:jc w:val="right"/>
              <w:rPr>
                <w:rFonts w:cs="Arial"/>
                <w:b/>
                <w:bCs/>
                <w:szCs w:val="24"/>
                <w:lang w:eastAsia="en-GB"/>
              </w:rPr>
            </w:pPr>
            <w:r w:rsidRPr="008F55E5">
              <w:rPr>
                <w:rFonts w:cs="Arial"/>
                <w:b/>
                <w:bCs/>
                <w:szCs w:val="24"/>
                <w:lang w:eastAsia="en-GB"/>
              </w:rPr>
              <w:t>4.7%</w:t>
            </w:r>
          </w:p>
        </w:tc>
      </w:tr>
      <w:tr w:rsidR="009C2C12" w:rsidRPr="00EB1D63" w14:paraId="1D34DD69" w14:textId="77777777" w:rsidTr="008F55E5">
        <w:trPr>
          <w:trHeight w:val="300"/>
        </w:trPr>
        <w:tc>
          <w:tcPr>
            <w:tcW w:w="7755" w:type="dxa"/>
            <w:gridSpan w:val="8"/>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0D844AEC"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3. Mean gender pay gap - Bonus pay in the 12 months ending 31 March</w:t>
            </w:r>
          </w:p>
        </w:tc>
        <w:tc>
          <w:tcPr>
            <w:tcW w:w="1005" w:type="dxa"/>
            <w:tcBorders>
              <w:top w:val="nil"/>
              <w:left w:val="nil"/>
              <w:bottom w:val="single" w:sz="4" w:space="0" w:color="auto"/>
              <w:right w:val="single" w:sz="4" w:space="0" w:color="auto"/>
            </w:tcBorders>
            <w:shd w:val="clear" w:color="auto" w:fill="FFFFFF" w:themeFill="background1"/>
            <w:noWrap/>
            <w:vAlign w:val="bottom"/>
            <w:hideMark/>
          </w:tcPr>
          <w:p w14:paraId="273AFE27" w14:textId="77777777" w:rsidR="009C2C12" w:rsidRPr="00EB1D63" w:rsidRDefault="009C2C12" w:rsidP="008F55E5">
            <w:pPr>
              <w:spacing w:line="240" w:lineRule="auto"/>
              <w:jc w:val="right"/>
              <w:rPr>
                <w:rFonts w:cs="Arial"/>
                <w:b/>
                <w:bCs/>
                <w:szCs w:val="24"/>
                <w:lang w:eastAsia="en-GB"/>
              </w:rPr>
            </w:pPr>
            <w:r w:rsidRPr="008F55E5">
              <w:rPr>
                <w:rFonts w:cs="Arial"/>
                <w:b/>
                <w:bCs/>
                <w:szCs w:val="24"/>
                <w:lang w:eastAsia="en-GB"/>
              </w:rPr>
              <w:t>11.4%</w:t>
            </w:r>
          </w:p>
        </w:tc>
      </w:tr>
      <w:tr w:rsidR="009C2C12" w:rsidRPr="00EB1D63" w14:paraId="38CA6BA8" w14:textId="77777777" w:rsidTr="008F55E5">
        <w:trPr>
          <w:trHeight w:val="300"/>
        </w:trPr>
        <w:tc>
          <w:tcPr>
            <w:tcW w:w="7755" w:type="dxa"/>
            <w:gridSpan w:val="8"/>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101EC450"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4. Median gender pay gap - Bonus pay in the 12 months ending 31 March</w:t>
            </w:r>
          </w:p>
        </w:tc>
        <w:tc>
          <w:tcPr>
            <w:tcW w:w="1005" w:type="dxa"/>
            <w:tcBorders>
              <w:top w:val="nil"/>
              <w:left w:val="nil"/>
              <w:bottom w:val="single" w:sz="4" w:space="0" w:color="auto"/>
              <w:right w:val="single" w:sz="4" w:space="0" w:color="auto"/>
            </w:tcBorders>
            <w:shd w:val="clear" w:color="auto" w:fill="FFFFFF" w:themeFill="background1"/>
            <w:noWrap/>
            <w:vAlign w:val="bottom"/>
            <w:hideMark/>
          </w:tcPr>
          <w:p w14:paraId="075DE943" w14:textId="77777777" w:rsidR="009C2C12" w:rsidRPr="00EB1D63" w:rsidRDefault="009C2C12" w:rsidP="008F55E5">
            <w:pPr>
              <w:spacing w:line="240" w:lineRule="auto"/>
              <w:jc w:val="right"/>
              <w:rPr>
                <w:rFonts w:cs="Arial"/>
                <w:b/>
                <w:bCs/>
                <w:szCs w:val="24"/>
                <w:lang w:eastAsia="en-GB"/>
              </w:rPr>
            </w:pPr>
            <w:r w:rsidRPr="008F55E5">
              <w:rPr>
                <w:rFonts w:cs="Arial"/>
                <w:b/>
                <w:bCs/>
                <w:szCs w:val="24"/>
                <w:lang w:eastAsia="en-GB"/>
              </w:rPr>
              <w:t>0.0%</w:t>
            </w:r>
          </w:p>
        </w:tc>
      </w:tr>
      <w:tr w:rsidR="009C2C12" w:rsidRPr="00EB1D63" w14:paraId="54145804" w14:textId="77777777" w:rsidTr="008F55E5">
        <w:trPr>
          <w:trHeight w:val="300"/>
        </w:trPr>
        <w:tc>
          <w:tcPr>
            <w:tcW w:w="6720" w:type="dxa"/>
            <w:gridSpan w:val="7"/>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4890EE56"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5. The proportion of male and female employees paid a bonus in the 12 months ending 31 March</w:t>
            </w: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14:paraId="6C72E151" w14:textId="0CBAE35C" w:rsidR="009C2C12" w:rsidRPr="00EB1D63" w:rsidRDefault="009C2C12" w:rsidP="008F55E5">
            <w:pPr>
              <w:spacing w:line="240" w:lineRule="auto"/>
              <w:rPr>
                <w:rFonts w:cs="Arial"/>
                <w:color w:val="000000" w:themeColor="text1"/>
                <w:szCs w:val="24"/>
                <w:lang w:eastAsia="en-GB"/>
              </w:rPr>
            </w:pPr>
            <w:r w:rsidRPr="008F55E5">
              <w:rPr>
                <w:rFonts w:cs="Arial"/>
                <w:color w:val="000000" w:themeColor="text1"/>
                <w:szCs w:val="24"/>
                <w:lang w:eastAsia="en-GB"/>
              </w:rPr>
              <w:t>Male</w:t>
            </w:r>
          </w:p>
          <w:p w14:paraId="7B143F11" w14:textId="198A097A" w:rsidR="009C2C12" w:rsidRPr="00EB1D63" w:rsidRDefault="009C2C12" w:rsidP="008F55E5">
            <w:pPr>
              <w:spacing w:line="240" w:lineRule="auto"/>
              <w:rPr>
                <w:rFonts w:cs="Arial"/>
                <w:color w:val="000000"/>
                <w:szCs w:val="24"/>
                <w:lang w:eastAsia="en-GB"/>
              </w:rPr>
            </w:pPr>
          </w:p>
        </w:tc>
        <w:tc>
          <w:tcPr>
            <w:tcW w:w="1005" w:type="dxa"/>
            <w:tcBorders>
              <w:top w:val="nil"/>
              <w:left w:val="nil"/>
              <w:bottom w:val="single" w:sz="4" w:space="0" w:color="auto"/>
              <w:right w:val="single" w:sz="4" w:space="0" w:color="auto"/>
            </w:tcBorders>
            <w:shd w:val="clear" w:color="auto" w:fill="FFFFFF" w:themeFill="background1"/>
            <w:noWrap/>
            <w:vAlign w:val="bottom"/>
            <w:hideMark/>
          </w:tcPr>
          <w:p w14:paraId="52C4699C" w14:textId="77777777" w:rsidR="009C2C12" w:rsidRPr="00EB1D63" w:rsidRDefault="009C2C12" w:rsidP="008F55E5">
            <w:pPr>
              <w:spacing w:line="240" w:lineRule="auto"/>
              <w:jc w:val="right"/>
              <w:rPr>
                <w:rFonts w:cs="Arial"/>
                <w:b/>
                <w:bCs/>
                <w:szCs w:val="24"/>
                <w:lang w:eastAsia="en-GB"/>
              </w:rPr>
            </w:pPr>
            <w:r w:rsidRPr="008F55E5">
              <w:rPr>
                <w:rFonts w:cs="Arial"/>
                <w:b/>
                <w:bCs/>
                <w:szCs w:val="24"/>
                <w:lang w:eastAsia="en-GB"/>
              </w:rPr>
              <w:t>86.8%</w:t>
            </w:r>
          </w:p>
        </w:tc>
      </w:tr>
      <w:tr w:rsidR="009C2C12" w:rsidRPr="00EB1D63" w14:paraId="5A6FDCBF" w14:textId="77777777" w:rsidTr="008F55E5">
        <w:trPr>
          <w:trHeight w:val="300"/>
        </w:trPr>
        <w:tc>
          <w:tcPr>
            <w:tcW w:w="6720" w:type="dxa"/>
            <w:gridSpan w:val="7"/>
            <w:vMerge/>
            <w:vAlign w:val="center"/>
            <w:hideMark/>
          </w:tcPr>
          <w:p w14:paraId="2B818332" w14:textId="77777777" w:rsidR="009C2C12" w:rsidRPr="00EB1D63" w:rsidRDefault="009C2C12" w:rsidP="009C2C12">
            <w:pPr>
              <w:spacing w:line="240" w:lineRule="auto"/>
              <w:rPr>
                <w:rFonts w:cs="Arial"/>
                <w:color w:val="000000"/>
                <w:sz w:val="22"/>
                <w:szCs w:val="22"/>
                <w:lang w:eastAsia="en-GB"/>
              </w:rPr>
            </w:pPr>
          </w:p>
        </w:tc>
        <w:tc>
          <w:tcPr>
            <w:tcW w:w="1035" w:type="dxa"/>
            <w:tcBorders>
              <w:top w:val="nil"/>
              <w:left w:val="nil"/>
              <w:bottom w:val="single" w:sz="4" w:space="0" w:color="auto"/>
              <w:right w:val="single" w:sz="4" w:space="0" w:color="auto"/>
            </w:tcBorders>
            <w:shd w:val="clear" w:color="auto" w:fill="FFFFFF" w:themeFill="background1"/>
            <w:noWrap/>
            <w:vAlign w:val="bottom"/>
            <w:hideMark/>
          </w:tcPr>
          <w:p w14:paraId="638F96D5" w14:textId="43C5A5C5" w:rsidR="008F55E5" w:rsidRDefault="008F55E5" w:rsidP="008F55E5">
            <w:pPr>
              <w:spacing w:line="240" w:lineRule="auto"/>
              <w:rPr>
                <w:rFonts w:cs="Arial"/>
                <w:color w:val="000000" w:themeColor="text1"/>
                <w:szCs w:val="24"/>
                <w:lang w:eastAsia="en-GB"/>
              </w:rPr>
            </w:pPr>
          </w:p>
          <w:p w14:paraId="2292E4AA" w14:textId="46D7205D"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Femal</w:t>
            </w:r>
            <w:r w:rsidR="7A288F90" w:rsidRPr="008F55E5">
              <w:rPr>
                <w:rFonts w:cs="Arial"/>
                <w:color w:val="000000" w:themeColor="text1"/>
                <w:szCs w:val="24"/>
                <w:lang w:eastAsia="en-GB"/>
              </w:rPr>
              <w:t>e</w:t>
            </w:r>
          </w:p>
        </w:tc>
        <w:tc>
          <w:tcPr>
            <w:tcW w:w="1005" w:type="dxa"/>
            <w:tcBorders>
              <w:top w:val="nil"/>
              <w:left w:val="nil"/>
              <w:bottom w:val="single" w:sz="4" w:space="0" w:color="auto"/>
              <w:right w:val="single" w:sz="4" w:space="0" w:color="auto"/>
            </w:tcBorders>
            <w:shd w:val="clear" w:color="auto" w:fill="FFFFFF" w:themeFill="background1"/>
            <w:noWrap/>
            <w:vAlign w:val="bottom"/>
            <w:hideMark/>
          </w:tcPr>
          <w:p w14:paraId="785B1CE1" w14:textId="77777777" w:rsidR="009C2C12" w:rsidRPr="00EB1D63" w:rsidRDefault="009C2C12" w:rsidP="008F55E5">
            <w:pPr>
              <w:spacing w:line="240" w:lineRule="auto"/>
              <w:jc w:val="right"/>
              <w:rPr>
                <w:rFonts w:cs="Arial"/>
                <w:b/>
                <w:bCs/>
                <w:szCs w:val="24"/>
                <w:lang w:eastAsia="en-GB"/>
              </w:rPr>
            </w:pPr>
            <w:r w:rsidRPr="008F55E5">
              <w:rPr>
                <w:rFonts w:cs="Arial"/>
                <w:b/>
                <w:bCs/>
                <w:szCs w:val="24"/>
                <w:lang w:eastAsia="en-GB"/>
              </w:rPr>
              <w:t>81.0%</w:t>
            </w:r>
          </w:p>
        </w:tc>
      </w:tr>
      <w:tr w:rsidR="009C2C12" w:rsidRPr="00EB1D63" w14:paraId="5E619C76" w14:textId="77777777" w:rsidTr="008F55E5">
        <w:trPr>
          <w:trHeight w:val="300"/>
        </w:trPr>
        <w:tc>
          <w:tcPr>
            <w:tcW w:w="876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472B7" w14:textId="77777777" w:rsidR="009C2C12" w:rsidRPr="00EB1D63" w:rsidRDefault="009C2C12" w:rsidP="008F55E5">
            <w:pPr>
              <w:spacing w:line="240" w:lineRule="auto"/>
              <w:rPr>
                <w:rFonts w:cs="Arial"/>
                <w:szCs w:val="24"/>
                <w:lang w:eastAsia="en-GB"/>
              </w:rPr>
            </w:pPr>
            <w:r w:rsidRPr="008F55E5">
              <w:rPr>
                <w:rFonts w:cs="Arial"/>
                <w:szCs w:val="24"/>
                <w:lang w:eastAsia="en-GB"/>
              </w:rPr>
              <w:t>6. Proportion of male and female employees in each quartile:</w:t>
            </w:r>
          </w:p>
        </w:tc>
      </w:tr>
      <w:tr w:rsidR="009C2C12" w:rsidRPr="00EB1D63" w14:paraId="02C74EDD" w14:textId="77777777" w:rsidTr="008F55E5">
        <w:trPr>
          <w:trHeight w:val="300"/>
        </w:trPr>
        <w:tc>
          <w:tcPr>
            <w:tcW w:w="2880" w:type="dxa"/>
            <w:gridSpan w:val="3"/>
            <w:tcBorders>
              <w:top w:val="single" w:sz="4" w:space="0" w:color="auto"/>
              <w:left w:val="single" w:sz="4" w:space="0" w:color="auto"/>
              <w:bottom w:val="single" w:sz="4" w:space="0" w:color="auto"/>
              <w:right w:val="single" w:sz="4" w:space="0" w:color="000000" w:themeColor="text1"/>
            </w:tcBorders>
            <w:shd w:val="clear" w:color="auto" w:fill="A6A6A6" w:themeFill="background1" w:themeFillShade="A6"/>
            <w:noWrap/>
            <w:vAlign w:val="center"/>
            <w:hideMark/>
          </w:tcPr>
          <w:p w14:paraId="61BC4DBB" w14:textId="77777777" w:rsidR="009C2C12" w:rsidRPr="00EB1D63" w:rsidRDefault="009C2C12" w:rsidP="008F55E5">
            <w:pPr>
              <w:spacing w:line="240" w:lineRule="auto"/>
              <w:jc w:val="center"/>
              <w:rPr>
                <w:rFonts w:cs="Arial"/>
                <w:b/>
                <w:bCs/>
                <w:color w:val="FFFFFF"/>
                <w:szCs w:val="24"/>
                <w:lang w:eastAsia="en-GB"/>
              </w:rPr>
            </w:pPr>
            <w:r w:rsidRPr="008F55E5">
              <w:rPr>
                <w:rFonts w:cs="Arial"/>
                <w:b/>
                <w:bCs/>
                <w:color w:val="FFFFFF" w:themeColor="background1"/>
                <w:szCs w:val="24"/>
                <w:lang w:eastAsia="en-GB"/>
              </w:rPr>
              <w:t>Quartile</w:t>
            </w:r>
          </w:p>
        </w:tc>
        <w:tc>
          <w:tcPr>
            <w:tcW w:w="2880" w:type="dxa"/>
            <w:gridSpan w:val="3"/>
            <w:tcBorders>
              <w:top w:val="single" w:sz="4" w:space="0" w:color="auto"/>
              <w:left w:val="nil"/>
              <w:bottom w:val="single" w:sz="4" w:space="0" w:color="auto"/>
              <w:right w:val="single" w:sz="4" w:space="0" w:color="000000" w:themeColor="text1"/>
            </w:tcBorders>
            <w:shd w:val="clear" w:color="auto" w:fill="A6A6A6" w:themeFill="background1" w:themeFillShade="A6"/>
            <w:noWrap/>
            <w:vAlign w:val="center"/>
            <w:hideMark/>
          </w:tcPr>
          <w:p w14:paraId="0FFEEA3C" w14:textId="77777777" w:rsidR="009C2C12" w:rsidRPr="00EB1D63" w:rsidRDefault="009C2C12" w:rsidP="008F55E5">
            <w:pPr>
              <w:spacing w:line="240" w:lineRule="auto"/>
              <w:jc w:val="center"/>
              <w:rPr>
                <w:rFonts w:cs="Arial"/>
                <w:b/>
                <w:bCs/>
                <w:color w:val="FFFFFF"/>
                <w:szCs w:val="24"/>
                <w:lang w:eastAsia="en-GB"/>
              </w:rPr>
            </w:pPr>
            <w:r w:rsidRPr="008F55E5">
              <w:rPr>
                <w:rFonts w:cs="Arial"/>
                <w:b/>
                <w:bCs/>
                <w:color w:val="FFFFFF" w:themeColor="background1"/>
                <w:szCs w:val="24"/>
                <w:lang w:eastAsia="en-GB"/>
              </w:rPr>
              <w:t>Female %</w:t>
            </w:r>
          </w:p>
        </w:tc>
        <w:tc>
          <w:tcPr>
            <w:tcW w:w="3000" w:type="dxa"/>
            <w:gridSpan w:val="3"/>
            <w:tcBorders>
              <w:top w:val="single" w:sz="4" w:space="0" w:color="auto"/>
              <w:left w:val="nil"/>
              <w:bottom w:val="single" w:sz="4" w:space="0" w:color="auto"/>
              <w:right w:val="single" w:sz="4" w:space="0" w:color="000000" w:themeColor="text1"/>
            </w:tcBorders>
            <w:shd w:val="clear" w:color="auto" w:fill="A6A6A6" w:themeFill="background1" w:themeFillShade="A6"/>
            <w:noWrap/>
            <w:vAlign w:val="center"/>
            <w:hideMark/>
          </w:tcPr>
          <w:p w14:paraId="416CB778" w14:textId="77777777" w:rsidR="009C2C12" w:rsidRPr="00EB1D63" w:rsidRDefault="009C2C12" w:rsidP="008F55E5">
            <w:pPr>
              <w:spacing w:line="240" w:lineRule="auto"/>
              <w:jc w:val="center"/>
              <w:rPr>
                <w:rFonts w:cs="Arial"/>
                <w:b/>
                <w:bCs/>
                <w:color w:val="FFFFFF"/>
                <w:szCs w:val="24"/>
                <w:lang w:eastAsia="en-GB"/>
              </w:rPr>
            </w:pPr>
            <w:r w:rsidRPr="008F55E5">
              <w:rPr>
                <w:rFonts w:cs="Arial"/>
                <w:b/>
                <w:bCs/>
                <w:color w:val="FFFFFF" w:themeColor="background1"/>
                <w:szCs w:val="24"/>
                <w:lang w:eastAsia="en-GB"/>
              </w:rPr>
              <w:t>Male %</w:t>
            </w:r>
          </w:p>
        </w:tc>
      </w:tr>
      <w:tr w:rsidR="009C2C12" w:rsidRPr="00EB1D63" w14:paraId="3C0A6FDE" w14:textId="77777777" w:rsidTr="008F55E5">
        <w:trPr>
          <w:trHeight w:val="300"/>
        </w:trPr>
        <w:tc>
          <w:tcPr>
            <w:tcW w:w="2880"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332926B7"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First (lower) quartile</w:t>
            </w:r>
          </w:p>
        </w:tc>
        <w:tc>
          <w:tcPr>
            <w:tcW w:w="288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CBEF753" w14:textId="77777777" w:rsidR="009C2C12" w:rsidRPr="00EB1D63" w:rsidRDefault="009C2C12" w:rsidP="008F55E5">
            <w:pPr>
              <w:spacing w:line="240" w:lineRule="auto"/>
              <w:jc w:val="center"/>
              <w:rPr>
                <w:rFonts w:cs="Arial"/>
                <w:b/>
                <w:bCs/>
                <w:color w:val="000000"/>
                <w:szCs w:val="24"/>
                <w:lang w:eastAsia="en-GB"/>
              </w:rPr>
            </w:pPr>
            <w:r w:rsidRPr="008F55E5">
              <w:rPr>
                <w:rFonts w:cs="Arial"/>
                <w:b/>
                <w:bCs/>
                <w:color w:val="000000" w:themeColor="text1"/>
                <w:szCs w:val="24"/>
                <w:lang w:eastAsia="en-GB"/>
              </w:rPr>
              <w:t>69.9%</w:t>
            </w:r>
          </w:p>
        </w:tc>
        <w:tc>
          <w:tcPr>
            <w:tcW w:w="300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5230883" w14:textId="77777777" w:rsidR="009C2C12" w:rsidRPr="00EB1D63" w:rsidRDefault="009C2C12" w:rsidP="008F55E5">
            <w:pPr>
              <w:spacing w:line="240" w:lineRule="auto"/>
              <w:jc w:val="center"/>
              <w:rPr>
                <w:rFonts w:cs="Arial"/>
                <w:b/>
                <w:bCs/>
                <w:color w:val="000000"/>
                <w:szCs w:val="24"/>
                <w:lang w:eastAsia="en-GB"/>
              </w:rPr>
            </w:pPr>
            <w:r w:rsidRPr="008F55E5">
              <w:rPr>
                <w:rFonts w:cs="Arial"/>
                <w:b/>
                <w:bCs/>
                <w:color w:val="000000" w:themeColor="text1"/>
                <w:szCs w:val="24"/>
                <w:lang w:eastAsia="en-GB"/>
              </w:rPr>
              <w:t>30.1%</w:t>
            </w:r>
          </w:p>
        </w:tc>
      </w:tr>
      <w:tr w:rsidR="009C2C12" w:rsidRPr="00EB1D63" w14:paraId="13DF44B4" w14:textId="77777777" w:rsidTr="008F55E5">
        <w:trPr>
          <w:trHeight w:val="300"/>
        </w:trPr>
        <w:tc>
          <w:tcPr>
            <w:tcW w:w="2880"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77726F29"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Second quartile</w:t>
            </w:r>
          </w:p>
        </w:tc>
        <w:tc>
          <w:tcPr>
            <w:tcW w:w="288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C1F7E16" w14:textId="77777777" w:rsidR="009C2C12" w:rsidRPr="00EB1D63" w:rsidRDefault="009C2C12" w:rsidP="008F55E5">
            <w:pPr>
              <w:spacing w:line="240" w:lineRule="auto"/>
              <w:jc w:val="center"/>
              <w:rPr>
                <w:rFonts w:cs="Arial"/>
                <w:b/>
                <w:bCs/>
                <w:color w:val="000000"/>
                <w:szCs w:val="24"/>
                <w:lang w:eastAsia="en-GB"/>
              </w:rPr>
            </w:pPr>
            <w:r w:rsidRPr="008F55E5">
              <w:rPr>
                <w:rFonts w:cs="Arial"/>
                <w:b/>
                <w:bCs/>
                <w:color w:val="000000" w:themeColor="text1"/>
                <w:szCs w:val="24"/>
                <w:lang w:eastAsia="en-GB"/>
              </w:rPr>
              <w:t>72.1%</w:t>
            </w:r>
          </w:p>
        </w:tc>
        <w:tc>
          <w:tcPr>
            <w:tcW w:w="300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F351E7B" w14:textId="77777777" w:rsidR="009C2C12" w:rsidRPr="00EB1D63" w:rsidRDefault="009C2C12" w:rsidP="008F55E5">
            <w:pPr>
              <w:spacing w:line="240" w:lineRule="auto"/>
              <w:jc w:val="center"/>
              <w:rPr>
                <w:rFonts w:cs="Arial"/>
                <w:b/>
                <w:bCs/>
                <w:color w:val="000000"/>
                <w:szCs w:val="24"/>
                <w:lang w:eastAsia="en-GB"/>
              </w:rPr>
            </w:pPr>
            <w:r w:rsidRPr="008F55E5">
              <w:rPr>
                <w:rFonts w:cs="Arial"/>
                <w:b/>
                <w:bCs/>
                <w:color w:val="000000" w:themeColor="text1"/>
                <w:szCs w:val="24"/>
                <w:lang w:eastAsia="en-GB"/>
              </w:rPr>
              <w:t>27.9%</w:t>
            </w:r>
          </w:p>
        </w:tc>
      </w:tr>
      <w:tr w:rsidR="009C2C12" w:rsidRPr="00EB1D63" w14:paraId="72FD1930" w14:textId="77777777" w:rsidTr="008F55E5">
        <w:trPr>
          <w:trHeight w:val="300"/>
        </w:trPr>
        <w:tc>
          <w:tcPr>
            <w:tcW w:w="2880"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775B7611"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Third quartile</w:t>
            </w:r>
          </w:p>
        </w:tc>
        <w:tc>
          <w:tcPr>
            <w:tcW w:w="288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ACD71BA" w14:textId="77777777" w:rsidR="009C2C12" w:rsidRPr="00EB1D63" w:rsidRDefault="009C2C12" w:rsidP="008F55E5">
            <w:pPr>
              <w:spacing w:line="240" w:lineRule="auto"/>
              <w:jc w:val="center"/>
              <w:rPr>
                <w:rFonts w:cs="Arial"/>
                <w:b/>
                <w:bCs/>
                <w:color w:val="000000"/>
                <w:szCs w:val="24"/>
                <w:lang w:eastAsia="en-GB"/>
              </w:rPr>
            </w:pPr>
            <w:r w:rsidRPr="008F55E5">
              <w:rPr>
                <w:rFonts w:cs="Arial"/>
                <w:b/>
                <w:bCs/>
                <w:color w:val="000000" w:themeColor="text1"/>
                <w:szCs w:val="24"/>
                <w:lang w:eastAsia="en-GB"/>
              </w:rPr>
              <w:t>71.4%</w:t>
            </w:r>
          </w:p>
        </w:tc>
        <w:tc>
          <w:tcPr>
            <w:tcW w:w="300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6909051" w14:textId="77777777" w:rsidR="009C2C12" w:rsidRPr="00EB1D63" w:rsidRDefault="009C2C12" w:rsidP="008F55E5">
            <w:pPr>
              <w:spacing w:line="240" w:lineRule="auto"/>
              <w:jc w:val="center"/>
              <w:rPr>
                <w:rFonts w:cs="Arial"/>
                <w:b/>
                <w:bCs/>
                <w:color w:val="000000"/>
                <w:szCs w:val="24"/>
                <w:lang w:eastAsia="en-GB"/>
              </w:rPr>
            </w:pPr>
            <w:r w:rsidRPr="008F55E5">
              <w:rPr>
                <w:rFonts w:cs="Arial"/>
                <w:b/>
                <w:bCs/>
                <w:color w:val="000000" w:themeColor="text1"/>
                <w:szCs w:val="24"/>
                <w:lang w:eastAsia="en-GB"/>
              </w:rPr>
              <w:t>28.6%</w:t>
            </w:r>
          </w:p>
        </w:tc>
      </w:tr>
      <w:tr w:rsidR="009C2C12" w:rsidRPr="00EB1D63" w14:paraId="05575787" w14:textId="77777777" w:rsidTr="008F55E5">
        <w:trPr>
          <w:trHeight w:val="300"/>
        </w:trPr>
        <w:tc>
          <w:tcPr>
            <w:tcW w:w="2880"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72BC3541" w14:textId="77777777" w:rsidR="009C2C12" w:rsidRPr="00EB1D63" w:rsidRDefault="009C2C12" w:rsidP="008F55E5">
            <w:pPr>
              <w:spacing w:line="240" w:lineRule="auto"/>
              <w:rPr>
                <w:rFonts w:cs="Arial"/>
                <w:color w:val="000000"/>
                <w:szCs w:val="24"/>
                <w:lang w:eastAsia="en-GB"/>
              </w:rPr>
            </w:pPr>
            <w:r w:rsidRPr="008F55E5">
              <w:rPr>
                <w:rFonts w:cs="Arial"/>
                <w:color w:val="000000" w:themeColor="text1"/>
                <w:szCs w:val="24"/>
                <w:lang w:eastAsia="en-GB"/>
              </w:rPr>
              <w:t>Fourth (upper) quartile</w:t>
            </w:r>
          </w:p>
        </w:tc>
        <w:tc>
          <w:tcPr>
            <w:tcW w:w="288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953F154" w14:textId="77777777" w:rsidR="009C2C12" w:rsidRPr="00EB1D63" w:rsidRDefault="009C2C12" w:rsidP="008F55E5">
            <w:pPr>
              <w:spacing w:line="240" w:lineRule="auto"/>
              <w:jc w:val="center"/>
              <w:rPr>
                <w:rFonts w:cs="Arial"/>
                <w:b/>
                <w:bCs/>
                <w:color w:val="000000"/>
                <w:szCs w:val="24"/>
                <w:lang w:eastAsia="en-GB"/>
              </w:rPr>
            </w:pPr>
            <w:r w:rsidRPr="008F55E5">
              <w:rPr>
                <w:rFonts w:cs="Arial"/>
                <w:b/>
                <w:bCs/>
                <w:color w:val="000000" w:themeColor="text1"/>
                <w:szCs w:val="24"/>
                <w:lang w:eastAsia="en-GB"/>
              </w:rPr>
              <w:t>61.0%</w:t>
            </w:r>
          </w:p>
        </w:tc>
        <w:tc>
          <w:tcPr>
            <w:tcW w:w="300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45E00F3" w14:textId="77777777" w:rsidR="009C2C12" w:rsidRPr="00EB1D63" w:rsidRDefault="009C2C12" w:rsidP="008F55E5">
            <w:pPr>
              <w:spacing w:line="240" w:lineRule="auto"/>
              <w:jc w:val="center"/>
              <w:rPr>
                <w:rFonts w:cs="Arial"/>
                <w:b/>
                <w:bCs/>
                <w:color w:val="000000"/>
                <w:szCs w:val="24"/>
                <w:lang w:eastAsia="en-GB"/>
              </w:rPr>
            </w:pPr>
            <w:r w:rsidRPr="008F55E5">
              <w:rPr>
                <w:rFonts w:cs="Arial"/>
                <w:b/>
                <w:bCs/>
                <w:color w:val="000000" w:themeColor="text1"/>
                <w:szCs w:val="24"/>
                <w:lang w:eastAsia="en-GB"/>
              </w:rPr>
              <w:t>39.0%</w:t>
            </w:r>
          </w:p>
        </w:tc>
      </w:tr>
    </w:tbl>
    <w:p w14:paraId="7EAED302" w14:textId="77777777" w:rsidR="009C2C12" w:rsidRPr="00EB1D63" w:rsidRDefault="009C2C12" w:rsidP="008F55E5">
      <w:pPr>
        <w:spacing w:line="240" w:lineRule="auto"/>
        <w:rPr>
          <w:rFonts w:cs="Arial"/>
          <w:b/>
          <w:bCs/>
          <w:szCs w:val="24"/>
        </w:rPr>
      </w:pPr>
    </w:p>
    <w:p w14:paraId="1412027E" w14:textId="70CDD28E" w:rsidR="009C2C12" w:rsidRPr="00EB1D63" w:rsidRDefault="009C2C12" w:rsidP="008F55E5">
      <w:pPr>
        <w:spacing w:line="240" w:lineRule="auto"/>
        <w:rPr>
          <w:rFonts w:cs="Arial"/>
          <w:b/>
          <w:bCs/>
          <w:szCs w:val="24"/>
        </w:rPr>
      </w:pPr>
      <w:r w:rsidRPr="008F55E5">
        <w:rPr>
          <w:rFonts w:cs="Arial"/>
          <w:b/>
          <w:bCs/>
          <w:szCs w:val="24"/>
        </w:rPr>
        <w:t>Changes from</w:t>
      </w:r>
      <w:r w:rsidR="00593B5B" w:rsidRPr="008F55E5">
        <w:rPr>
          <w:rFonts w:cs="Arial"/>
          <w:b/>
          <w:bCs/>
          <w:szCs w:val="24"/>
        </w:rPr>
        <w:t xml:space="preserve"> the</w:t>
      </w:r>
      <w:r w:rsidRPr="008F55E5">
        <w:rPr>
          <w:rFonts w:cs="Arial"/>
          <w:b/>
          <w:bCs/>
          <w:szCs w:val="24"/>
        </w:rPr>
        <w:t xml:space="preserve"> March 2022 return</w:t>
      </w:r>
      <w:r>
        <w:tab/>
      </w:r>
      <w:r>
        <w:tab/>
      </w:r>
      <w:r>
        <w:tab/>
      </w:r>
    </w:p>
    <w:p w14:paraId="572B9E5B" w14:textId="77777777" w:rsidR="006B239B" w:rsidRPr="00EB1D63" w:rsidRDefault="006B239B" w:rsidP="008F55E5">
      <w:pPr>
        <w:spacing w:line="240" w:lineRule="auto"/>
        <w:rPr>
          <w:rFonts w:cs="Arial"/>
          <w:b/>
          <w:bCs/>
          <w:szCs w:val="24"/>
        </w:rPr>
      </w:pPr>
    </w:p>
    <w:tbl>
      <w:tblPr>
        <w:tblW w:w="3594" w:type="dxa"/>
        <w:tblLook w:val="04A0" w:firstRow="1" w:lastRow="0" w:firstColumn="1" w:lastColumn="0" w:noHBand="0" w:noVBand="1"/>
      </w:tblPr>
      <w:tblGrid>
        <w:gridCol w:w="2830"/>
        <w:gridCol w:w="1037"/>
      </w:tblGrid>
      <w:tr w:rsidR="00024472" w:rsidRPr="00EB1D63" w14:paraId="04EAC9DD" w14:textId="77777777" w:rsidTr="008F55E5">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0FCC09C" w14:textId="72B342E0" w:rsidR="00024472" w:rsidRPr="00EB1D63" w:rsidRDefault="00024472" w:rsidP="008F55E5">
            <w:pPr>
              <w:spacing w:line="240" w:lineRule="auto"/>
              <w:rPr>
                <w:rFonts w:cs="Arial"/>
                <w:b/>
                <w:bCs/>
                <w:color w:val="FFFFFF"/>
                <w:szCs w:val="24"/>
                <w:lang w:eastAsia="en-GB"/>
              </w:rPr>
            </w:pPr>
            <w:r w:rsidRPr="008F55E5">
              <w:rPr>
                <w:rFonts w:cs="Arial"/>
                <w:b/>
                <w:bCs/>
                <w:color w:val="FFFFFF" w:themeColor="background1"/>
                <w:szCs w:val="24"/>
                <w:lang w:eastAsia="en-GB"/>
              </w:rPr>
              <w:t> </w:t>
            </w:r>
            <w:r w:rsidR="006B239B" w:rsidRPr="008F55E5">
              <w:rPr>
                <w:rFonts w:cs="Arial"/>
                <w:b/>
                <w:bCs/>
                <w:color w:val="FFFFFF" w:themeColor="background1"/>
                <w:szCs w:val="24"/>
                <w:lang w:eastAsia="en-GB"/>
              </w:rPr>
              <w:t>Overall changes</w:t>
            </w:r>
            <w:r w:rsidR="006377C3" w:rsidRPr="008F55E5">
              <w:rPr>
                <w:rFonts w:cs="Arial"/>
                <w:b/>
                <w:bCs/>
                <w:color w:val="FFFFFF" w:themeColor="background1"/>
                <w:szCs w:val="24"/>
                <w:lang w:eastAsia="en-GB"/>
              </w:rPr>
              <w:t xml:space="preserve"> in pay </w:t>
            </w:r>
            <w:r w:rsidR="006B239B" w:rsidRPr="008F55E5">
              <w:rPr>
                <w:rFonts w:cs="Arial"/>
                <w:b/>
                <w:bCs/>
                <w:color w:val="FFFFFF" w:themeColor="background1"/>
                <w:szCs w:val="24"/>
                <w:lang w:eastAsia="en-GB"/>
              </w:rPr>
              <w:t xml:space="preserve"> from female to male staff</w:t>
            </w:r>
          </w:p>
        </w:tc>
        <w:tc>
          <w:tcPr>
            <w:tcW w:w="76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4B75E54E" w14:textId="77777777" w:rsidR="00024472" w:rsidRPr="00EB1D63" w:rsidRDefault="00024472" w:rsidP="008F55E5">
            <w:pPr>
              <w:spacing w:line="240" w:lineRule="auto"/>
              <w:jc w:val="center"/>
              <w:rPr>
                <w:rFonts w:cs="Arial"/>
                <w:b/>
                <w:bCs/>
                <w:color w:val="FFFFFF"/>
                <w:szCs w:val="24"/>
                <w:lang w:eastAsia="en-GB"/>
              </w:rPr>
            </w:pPr>
            <w:r w:rsidRPr="008F55E5">
              <w:rPr>
                <w:rFonts w:cs="Arial"/>
                <w:b/>
                <w:bCs/>
                <w:color w:val="FFFFFF" w:themeColor="background1"/>
                <w:szCs w:val="24"/>
                <w:lang w:eastAsia="en-GB"/>
              </w:rPr>
              <w:t>%</w:t>
            </w:r>
          </w:p>
        </w:tc>
      </w:tr>
      <w:tr w:rsidR="00024472" w:rsidRPr="00EB1D63" w14:paraId="39827339" w14:textId="77777777" w:rsidTr="008F55E5">
        <w:trPr>
          <w:trHeight w:val="300"/>
        </w:trPr>
        <w:tc>
          <w:tcPr>
            <w:tcW w:w="283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4EE5AC" w14:textId="77777777" w:rsidR="00024472" w:rsidRPr="00EB1D63" w:rsidRDefault="00024472" w:rsidP="008F55E5">
            <w:pPr>
              <w:spacing w:line="240" w:lineRule="auto"/>
              <w:rPr>
                <w:rFonts w:cs="Arial"/>
                <w:color w:val="000000"/>
                <w:szCs w:val="24"/>
                <w:lang w:eastAsia="en-GB"/>
              </w:rPr>
            </w:pPr>
            <w:r w:rsidRPr="008F55E5">
              <w:rPr>
                <w:rFonts w:cs="Arial"/>
                <w:color w:val="000000" w:themeColor="text1"/>
                <w:szCs w:val="24"/>
                <w:lang w:eastAsia="en-GB"/>
              </w:rPr>
              <w:t>Mean</w:t>
            </w:r>
          </w:p>
        </w:tc>
        <w:tc>
          <w:tcPr>
            <w:tcW w:w="764" w:type="dxa"/>
            <w:tcBorders>
              <w:top w:val="nil"/>
              <w:left w:val="nil"/>
              <w:bottom w:val="single" w:sz="4" w:space="0" w:color="auto"/>
              <w:right w:val="single" w:sz="4" w:space="0" w:color="auto"/>
            </w:tcBorders>
            <w:shd w:val="clear" w:color="auto" w:fill="FFFFFF" w:themeFill="background1"/>
            <w:noWrap/>
            <w:vAlign w:val="bottom"/>
            <w:hideMark/>
          </w:tcPr>
          <w:p w14:paraId="73CDCEC6" w14:textId="54CB45E1" w:rsidR="00024472" w:rsidRPr="00EB1D63" w:rsidRDefault="00024472" w:rsidP="008F55E5">
            <w:pPr>
              <w:spacing w:line="240" w:lineRule="auto"/>
              <w:jc w:val="right"/>
              <w:rPr>
                <w:rFonts w:cs="Arial"/>
                <w:color w:val="000000"/>
                <w:szCs w:val="24"/>
                <w:lang w:eastAsia="en-GB"/>
              </w:rPr>
            </w:pPr>
            <w:r w:rsidRPr="008F55E5">
              <w:rPr>
                <w:rFonts w:cs="Arial"/>
                <w:color w:val="000000" w:themeColor="text1"/>
                <w:szCs w:val="24"/>
                <w:lang w:eastAsia="en-GB"/>
              </w:rPr>
              <w:t>+1.4%</w:t>
            </w:r>
          </w:p>
        </w:tc>
      </w:tr>
      <w:tr w:rsidR="00024472" w:rsidRPr="00EB1D63" w14:paraId="3517FDEA" w14:textId="77777777" w:rsidTr="008F55E5">
        <w:trPr>
          <w:trHeight w:val="300"/>
        </w:trPr>
        <w:tc>
          <w:tcPr>
            <w:tcW w:w="283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8B1DC2" w14:textId="77777777" w:rsidR="00024472" w:rsidRPr="00EB1D63" w:rsidRDefault="00024472" w:rsidP="008F55E5">
            <w:pPr>
              <w:spacing w:line="240" w:lineRule="auto"/>
              <w:rPr>
                <w:rFonts w:cs="Arial"/>
                <w:color w:val="000000"/>
                <w:szCs w:val="24"/>
                <w:lang w:eastAsia="en-GB"/>
              </w:rPr>
            </w:pPr>
            <w:r w:rsidRPr="008F55E5">
              <w:rPr>
                <w:rFonts w:cs="Arial"/>
                <w:color w:val="000000" w:themeColor="text1"/>
                <w:szCs w:val="24"/>
                <w:lang w:eastAsia="en-GB"/>
              </w:rPr>
              <w:t>Median</w:t>
            </w:r>
          </w:p>
        </w:tc>
        <w:tc>
          <w:tcPr>
            <w:tcW w:w="764" w:type="dxa"/>
            <w:tcBorders>
              <w:top w:val="nil"/>
              <w:left w:val="nil"/>
              <w:bottom w:val="single" w:sz="4" w:space="0" w:color="auto"/>
              <w:right w:val="single" w:sz="4" w:space="0" w:color="auto"/>
            </w:tcBorders>
            <w:shd w:val="clear" w:color="auto" w:fill="FFFFFF" w:themeFill="background1"/>
            <w:noWrap/>
            <w:vAlign w:val="bottom"/>
            <w:hideMark/>
          </w:tcPr>
          <w:p w14:paraId="60018353" w14:textId="1544A953" w:rsidR="00024472" w:rsidRPr="00EB1D63" w:rsidRDefault="00024472" w:rsidP="008F55E5">
            <w:pPr>
              <w:spacing w:line="240" w:lineRule="auto"/>
              <w:jc w:val="right"/>
              <w:rPr>
                <w:rFonts w:cs="Arial"/>
                <w:color w:val="000000"/>
                <w:szCs w:val="24"/>
                <w:lang w:eastAsia="en-GB"/>
              </w:rPr>
            </w:pPr>
            <w:r w:rsidRPr="008F55E5">
              <w:rPr>
                <w:rFonts w:cs="Arial"/>
                <w:color w:val="000000" w:themeColor="text1"/>
                <w:szCs w:val="24"/>
                <w:lang w:eastAsia="en-GB"/>
              </w:rPr>
              <w:t>+2.6%</w:t>
            </w:r>
          </w:p>
        </w:tc>
      </w:tr>
      <w:tr w:rsidR="00024472" w:rsidRPr="00EB1D63" w14:paraId="59D5FEE7" w14:textId="77777777" w:rsidTr="008F55E5">
        <w:trPr>
          <w:trHeight w:val="300"/>
        </w:trPr>
        <w:tc>
          <w:tcPr>
            <w:tcW w:w="283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74D006" w14:textId="77777777" w:rsidR="00024472" w:rsidRPr="00EB1D63" w:rsidRDefault="00024472" w:rsidP="008F55E5">
            <w:pPr>
              <w:spacing w:line="240" w:lineRule="auto"/>
              <w:rPr>
                <w:rFonts w:cs="Arial"/>
                <w:color w:val="000000"/>
                <w:szCs w:val="24"/>
                <w:lang w:eastAsia="en-GB"/>
              </w:rPr>
            </w:pPr>
            <w:r w:rsidRPr="008F55E5">
              <w:rPr>
                <w:rFonts w:cs="Arial"/>
                <w:color w:val="000000" w:themeColor="text1"/>
                <w:szCs w:val="24"/>
                <w:lang w:eastAsia="en-GB"/>
              </w:rPr>
              <w:t>Bonus - Mean</w:t>
            </w:r>
          </w:p>
        </w:tc>
        <w:tc>
          <w:tcPr>
            <w:tcW w:w="764" w:type="dxa"/>
            <w:tcBorders>
              <w:top w:val="nil"/>
              <w:left w:val="nil"/>
              <w:bottom w:val="single" w:sz="4" w:space="0" w:color="auto"/>
              <w:right w:val="single" w:sz="4" w:space="0" w:color="auto"/>
            </w:tcBorders>
            <w:shd w:val="clear" w:color="auto" w:fill="FFFFFF" w:themeFill="background1"/>
            <w:noWrap/>
            <w:vAlign w:val="bottom"/>
            <w:hideMark/>
          </w:tcPr>
          <w:p w14:paraId="405D641A" w14:textId="06208DCD" w:rsidR="00024472" w:rsidRPr="00EB1D63" w:rsidRDefault="00024472" w:rsidP="008F55E5">
            <w:pPr>
              <w:spacing w:line="240" w:lineRule="auto"/>
              <w:jc w:val="right"/>
              <w:rPr>
                <w:rFonts w:cs="Arial"/>
                <w:color w:val="000000"/>
                <w:szCs w:val="24"/>
                <w:lang w:eastAsia="en-GB"/>
              </w:rPr>
            </w:pPr>
            <w:r w:rsidRPr="008F55E5">
              <w:rPr>
                <w:rFonts w:cs="Arial"/>
                <w:color w:val="000000" w:themeColor="text1"/>
                <w:szCs w:val="24"/>
                <w:lang w:eastAsia="en-GB"/>
              </w:rPr>
              <w:t>+0.8%</w:t>
            </w:r>
          </w:p>
        </w:tc>
      </w:tr>
      <w:tr w:rsidR="00024472" w:rsidRPr="00EB1D63" w14:paraId="26826CE0" w14:textId="77777777" w:rsidTr="008F55E5">
        <w:trPr>
          <w:trHeight w:val="300"/>
        </w:trPr>
        <w:tc>
          <w:tcPr>
            <w:tcW w:w="283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A0CC5F" w14:textId="77777777" w:rsidR="00024472" w:rsidRPr="00EB1D63" w:rsidRDefault="00024472" w:rsidP="008F55E5">
            <w:pPr>
              <w:spacing w:line="240" w:lineRule="auto"/>
              <w:rPr>
                <w:rFonts w:cs="Arial"/>
                <w:color w:val="000000"/>
                <w:szCs w:val="24"/>
                <w:lang w:eastAsia="en-GB"/>
              </w:rPr>
            </w:pPr>
            <w:r w:rsidRPr="008F55E5">
              <w:rPr>
                <w:rFonts w:cs="Arial"/>
                <w:color w:val="000000" w:themeColor="text1"/>
                <w:szCs w:val="24"/>
                <w:lang w:eastAsia="en-GB"/>
              </w:rPr>
              <w:t>Bonus - Median</w:t>
            </w:r>
          </w:p>
        </w:tc>
        <w:tc>
          <w:tcPr>
            <w:tcW w:w="764" w:type="dxa"/>
            <w:tcBorders>
              <w:top w:val="nil"/>
              <w:left w:val="nil"/>
              <w:bottom w:val="single" w:sz="4" w:space="0" w:color="auto"/>
              <w:right w:val="single" w:sz="4" w:space="0" w:color="auto"/>
            </w:tcBorders>
            <w:shd w:val="clear" w:color="auto" w:fill="FFFFFF" w:themeFill="background1"/>
            <w:noWrap/>
            <w:vAlign w:val="bottom"/>
            <w:hideMark/>
          </w:tcPr>
          <w:p w14:paraId="10CD13EF" w14:textId="0E1967B0" w:rsidR="00024472" w:rsidRPr="00EB1D63" w:rsidRDefault="00024472" w:rsidP="008F55E5">
            <w:pPr>
              <w:spacing w:line="240" w:lineRule="auto"/>
              <w:jc w:val="right"/>
              <w:rPr>
                <w:rFonts w:cs="Arial"/>
                <w:color w:val="000000"/>
                <w:szCs w:val="24"/>
                <w:lang w:eastAsia="en-GB"/>
              </w:rPr>
            </w:pPr>
            <w:r w:rsidRPr="008F55E5">
              <w:rPr>
                <w:rFonts w:cs="Arial"/>
                <w:color w:val="000000" w:themeColor="text1"/>
                <w:szCs w:val="24"/>
                <w:lang w:eastAsia="en-GB"/>
              </w:rPr>
              <w:t>0.0%</w:t>
            </w:r>
          </w:p>
        </w:tc>
      </w:tr>
      <w:tr w:rsidR="00024472" w:rsidRPr="00EB1D63" w14:paraId="3FDE7B94" w14:textId="77777777" w:rsidTr="008F55E5">
        <w:trPr>
          <w:trHeight w:val="300"/>
        </w:trPr>
        <w:tc>
          <w:tcPr>
            <w:tcW w:w="2830" w:type="dxa"/>
            <w:tcBorders>
              <w:top w:val="nil"/>
              <w:left w:val="nil"/>
              <w:bottom w:val="nil"/>
              <w:right w:val="nil"/>
            </w:tcBorders>
            <w:shd w:val="clear" w:color="auto" w:fill="FFFFFF" w:themeFill="background1"/>
            <w:noWrap/>
            <w:vAlign w:val="bottom"/>
            <w:hideMark/>
          </w:tcPr>
          <w:p w14:paraId="275D4A99" w14:textId="77777777" w:rsidR="00024472" w:rsidRPr="00EB1D63" w:rsidRDefault="00024472" w:rsidP="008F55E5">
            <w:pPr>
              <w:spacing w:line="240" w:lineRule="auto"/>
              <w:rPr>
                <w:rFonts w:cs="Arial"/>
                <w:color w:val="000000"/>
                <w:szCs w:val="24"/>
                <w:lang w:eastAsia="en-GB"/>
              </w:rPr>
            </w:pPr>
            <w:r w:rsidRPr="008F55E5">
              <w:rPr>
                <w:rFonts w:cs="Arial"/>
                <w:color w:val="000000" w:themeColor="text1"/>
                <w:szCs w:val="24"/>
                <w:lang w:eastAsia="en-GB"/>
              </w:rPr>
              <w:t> </w:t>
            </w:r>
          </w:p>
        </w:tc>
        <w:tc>
          <w:tcPr>
            <w:tcW w:w="764" w:type="dxa"/>
            <w:tcBorders>
              <w:top w:val="nil"/>
              <w:left w:val="nil"/>
              <w:bottom w:val="nil"/>
              <w:right w:val="nil"/>
            </w:tcBorders>
            <w:shd w:val="clear" w:color="auto" w:fill="FFFFFF" w:themeFill="background1"/>
            <w:noWrap/>
            <w:vAlign w:val="bottom"/>
            <w:hideMark/>
          </w:tcPr>
          <w:p w14:paraId="41038A53" w14:textId="77777777" w:rsidR="00024472" w:rsidRPr="00EB1D63" w:rsidRDefault="00024472" w:rsidP="008F55E5">
            <w:pPr>
              <w:spacing w:line="240" w:lineRule="auto"/>
              <w:rPr>
                <w:rFonts w:cs="Arial"/>
                <w:color w:val="000000"/>
                <w:szCs w:val="24"/>
                <w:lang w:eastAsia="en-GB"/>
              </w:rPr>
            </w:pPr>
            <w:r w:rsidRPr="008F55E5">
              <w:rPr>
                <w:rFonts w:cs="Arial"/>
                <w:color w:val="000000" w:themeColor="text1"/>
                <w:szCs w:val="24"/>
                <w:lang w:eastAsia="en-GB"/>
              </w:rPr>
              <w:t> </w:t>
            </w:r>
          </w:p>
        </w:tc>
      </w:tr>
      <w:tr w:rsidR="00024472" w:rsidRPr="00EB1D63" w14:paraId="723EF1BC" w14:textId="77777777" w:rsidTr="008F55E5">
        <w:trPr>
          <w:trHeight w:val="300"/>
        </w:trPr>
        <w:tc>
          <w:tcPr>
            <w:tcW w:w="2830"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5537A60B" w14:textId="3970B182" w:rsidR="00024472" w:rsidRPr="00EB1D63" w:rsidRDefault="00024472" w:rsidP="008F55E5">
            <w:pPr>
              <w:spacing w:line="240" w:lineRule="auto"/>
              <w:jc w:val="center"/>
              <w:rPr>
                <w:rFonts w:cs="Arial"/>
                <w:b/>
                <w:bCs/>
                <w:color w:val="FFFFFF"/>
                <w:szCs w:val="24"/>
                <w:lang w:eastAsia="en-GB"/>
              </w:rPr>
            </w:pPr>
            <w:r w:rsidRPr="008F55E5">
              <w:rPr>
                <w:rFonts w:cs="Arial"/>
                <w:b/>
                <w:bCs/>
                <w:color w:val="FFFFFF" w:themeColor="background1"/>
                <w:szCs w:val="24"/>
                <w:lang w:eastAsia="en-GB"/>
              </w:rPr>
              <w:t>Quartile (</w:t>
            </w:r>
            <w:r w:rsidR="006377C3" w:rsidRPr="008F55E5">
              <w:rPr>
                <w:rFonts w:cs="Arial"/>
                <w:b/>
                <w:bCs/>
                <w:color w:val="FFFFFF" w:themeColor="background1"/>
                <w:szCs w:val="24"/>
                <w:lang w:eastAsia="en-GB"/>
              </w:rPr>
              <w:t>increase in</w:t>
            </w:r>
            <w:r w:rsidRPr="008F55E5">
              <w:rPr>
                <w:rFonts w:cs="Arial"/>
                <w:b/>
                <w:bCs/>
                <w:color w:val="FFFFFF" w:themeColor="background1"/>
                <w:szCs w:val="24"/>
                <w:lang w:eastAsia="en-GB"/>
              </w:rPr>
              <w:t xml:space="preserve"> male staff</w:t>
            </w:r>
            <w:r w:rsidR="006377C3" w:rsidRPr="008F55E5">
              <w:rPr>
                <w:rFonts w:cs="Arial"/>
                <w:b/>
                <w:bCs/>
                <w:color w:val="FFFFFF" w:themeColor="background1"/>
                <w:szCs w:val="24"/>
                <w:lang w:eastAsia="en-GB"/>
              </w:rPr>
              <w:t xml:space="preserve"> representation</w:t>
            </w:r>
            <w:r w:rsidRPr="008F55E5">
              <w:rPr>
                <w:rFonts w:cs="Arial"/>
                <w:b/>
                <w:bCs/>
                <w:color w:val="FFFFFF" w:themeColor="background1"/>
                <w:szCs w:val="24"/>
                <w:lang w:eastAsia="en-GB"/>
              </w:rPr>
              <w:t>)</w:t>
            </w:r>
          </w:p>
        </w:tc>
        <w:tc>
          <w:tcPr>
            <w:tcW w:w="7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2E9E690" w14:textId="77777777" w:rsidR="00024472" w:rsidRPr="00EB1D63" w:rsidRDefault="00024472" w:rsidP="008F55E5">
            <w:pPr>
              <w:spacing w:line="240" w:lineRule="auto"/>
              <w:jc w:val="center"/>
              <w:rPr>
                <w:rFonts w:cs="Arial"/>
                <w:b/>
                <w:bCs/>
                <w:color w:val="FFFFFF"/>
                <w:szCs w:val="24"/>
                <w:lang w:eastAsia="en-GB"/>
              </w:rPr>
            </w:pPr>
            <w:r w:rsidRPr="008F55E5">
              <w:rPr>
                <w:rFonts w:cs="Arial"/>
                <w:b/>
                <w:bCs/>
                <w:color w:val="FFFFFF" w:themeColor="background1"/>
                <w:szCs w:val="24"/>
                <w:lang w:eastAsia="en-GB"/>
              </w:rPr>
              <w:t>%</w:t>
            </w:r>
          </w:p>
        </w:tc>
      </w:tr>
      <w:tr w:rsidR="00024472" w:rsidRPr="00EB1D63" w14:paraId="241EF420" w14:textId="77777777" w:rsidTr="008F55E5">
        <w:trPr>
          <w:trHeight w:val="300"/>
        </w:trPr>
        <w:tc>
          <w:tcPr>
            <w:tcW w:w="283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CCA7D0" w14:textId="7ACE79CA" w:rsidR="00024472" w:rsidRPr="00EB1D63" w:rsidRDefault="00024472" w:rsidP="008F55E5">
            <w:pPr>
              <w:spacing w:line="240" w:lineRule="auto"/>
              <w:rPr>
                <w:rFonts w:cs="Arial"/>
                <w:color w:val="000000"/>
                <w:szCs w:val="24"/>
                <w:lang w:eastAsia="en-GB"/>
              </w:rPr>
            </w:pPr>
            <w:r w:rsidRPr="008F55E5">
              <w:rPr>
                <w:rFonts w:cs="Arial"/>
                <w:color w:val="000000" w:themeColor="text1"/>
                <w:szCs w:val="24"/>
                <w:lang w:eastAsia="en-GB"/>
              </w:rPr>
              <w:t xml:space="preserve">First </w:t>
            </w:r>
            <w:r w:rsidR="00425F12" w:rsidRPr="008F55E5">
              <w:rPr>
                <w:rFonts w:cs="Arial"/>
                <w:color w:val="000000" w:themeColor="text1"/>
                <w:szCs w:val="24"/>
                <w:lang w:eastAsia="en-GB"/>
              </w:rPr>
              <w:t xml:space="preserve">(lower) </w:t>
            </w:r>
            <w:r w:rsidRPr="008F55E5">
              <w:rPr>
                <w:rFonts w:cs="Arial"/>
                <w:color w:val="000000" w:themeColor="text1"/>
                <w:szCs w:val="24"/>
                <w:lang w:eastAsia="en-GB"/>
              </w:rPr>
              <w:t>quartile</w:t>
            </w:r>
          </w:p>
        </w:tc>
        <w:tc>
          <w:tcPr>
            <w:tcW w:w="764" w:type="dxa"/>
            <w:tcBorders>
              <w:top w:val="nil"/>
              <w:left w:val="nil"/>
              <w:bottom w:val="single" w:sz="4" w:space="0" w:color="auto"/>
              <w:right w:val="single" w:sz="4" w:space="0" w:color="auto"/>
            </w:tcBorders>
            <w:shd w:val="clear" w:color="auto" w:fill="FFFFFF" w:themeFill="background1"/>
            <w:noWrap/>
            <w:vAlign w:val="bottom"/>
            <w:hideMark/>
          </w:tcPr>
          <w:p w14:paraId="0D4ED3C5" w14:textId="53C74A8A" w:rsidR="00024472" w:rsidRPr="00EB1D63" w:rsidRDefault="006B239B" w:rsidP="008F55E5">
            <w:pPr>
              <w:spacing w:line="240" w:lineRule="auto"/>
              <w:jc w:val="right"/>
              <w:rPr>
                <w:rFonts w:cs="Arial"/>
                <w:color w:val="000000"/>
                <w:szCs w:val="24"/>
                <w:lang w:eastAsia="en-GB"/>
              </w:rPr>
            </w:pPr>
            <w:r w:rsidRPr="008F55E5">
              <w:rPr>
                <w:rFonts w:cs="Arial"/>
                <w:color w:val="000000" w:themeColor="text1"/>
                <w:szCs w:val="24"/>
                <w:lang w:eastAsia="en-GB"/>
              </w:rPr>
              <w:t>-</w:t>
            </w:r>
            <w:r w:rsidR="00024472" w:rsidRPr="008F55E5">
              <w:rPr>
                <w:rFonts w:cs="Arial"/>
                <w:color w:val="000000" w:themeColor="text1"/>
                <w:szCs w:val="24"/>
                <w:lang w:eastAsia="en-GB"/>
              </w:rPr>
              <w:t>7.7%</w:t>
            </w:r>
          </w:p>
        </w:tc>
      </w:tr>
      <w:tr w:rsidR="00024472" w:rsidRPr="00EB1D63" w14:paraId="4AC52A28" w14:textId="77777777" w:rsidTr="008F55E5">
        <w:trPr>
          <w:trHeight w:val="300"/>
        </w:trPr>
        <w:tc>
          <w:tcPr>
            <w:tcW w:w="283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883502" w14:textId="77777777" w:rsidR="00024472" w:rsidRPr="00EB1D63" w:rsidRDefault="00024472" w:rsidP="008F55E5">
            <w:pPr>
              <w:spacing w:line="240" w:lineRule="auto"/>
              <w:rPr>
                <w:rFonts w:cs="Arial"/>
                <w:color w:val="000000"/>
                <w:szCs w:val="24"/>
                <w:lang w:eastAsia="en-GB"/>
              </w:rPr>
            </w:pPr>
            <w:r w:rsidRPr="008F55E5">
              <w:rPr>
                <w:rFonts w:cs="Arial"/>
                <w:color w:val="000000" w:themeColor="text1"/>
                <w:szCs w:val="24"/>
                <w:lang w:eastAsia="en-GB"/>
              </w:rPr>
              <w:t>Second quartile</w:t>
            </w:r>
          </w:p>
        </w:tc>
        <w:tc>
          <w:tcPr>
            <w:tcW w:w="764" w:type="dxa"/>
            <w:tcBorders>
              <w:top w:val="nil"/>
              <w:left w:val="nil"/>
              <w:bottom w:val="single" w:sz="4" w:space="0" w:color="auto"/>
              <w:right w:val="single" w:sz="4" w:space="0" w:color="auto"/>
            </w:tcBorders>
            <w:shd w:val="clear" w:color="auto" w:fill="FFFFFF" w:themeFill="background1"/>
            <w:noWrap/>
            <w:vAlign w:val="bottom"/>
            <w:hideMark/>
          </w:tcPr>
          <w:p w14:paraId="4E666F35" w14:textId="1F836C26" w:rsidR="00024472" w:rsidRPr="00EB1D63" w:rsidRDefault="006B239B" w:rsidP="008F55E5">
            <w:pPr>
              <w:spacing w:line="240" w:lineRule="auto"/>
              <w:jc w:val="right"/>
              <w:rPr>
                <w:rFonts w:cs="Arial"/>
                <w:color w:val="000000"/>
                <w:szCs w:val="24"/>
                <w:lang w:eastAsia="en-GB"/>
              </w:rPr>
            </w:pPr>
            <w:r w:rsidRPr="008F55E5">
              <w:rPr>
                <w:rFonts w:cs="Arial"/>
                <w:color w:val="000000" w:themeColor="text1"/>
                <w:szCs w:val="24"/>
                <w:lang w:eastAsia="en-GB"/>
              </w:rPr>
              <w:t>-</w:t>
            </w:r>
            <w:r w:rsidR="00024472" w:rsidRPr="008F55E5">
              <w:rPr>
                <w:rFonts w:cs="Arial"/>
                <w:color w:val="000000" w:themeColor="text1"/>
                <w:szCs w:val="24"/>
                <w:lang w:eastAsia="en-GB"/>
              </w:rPr>
              <w:t>2.7%</w:t>
            </w:r>
          </w:p>
        </w:tc>
      </w:tr>
      <w:tr w:rsidR="00024472" w:rsidRPr="00EB1D63" w14:paraId="4C5002B7" w14:textId="77777777" w:rsidTr="008F55E5">
        <w:trPr>
          <w:trHeight w:val="300"/>
        </w:trPr>
        <w:tc>
          <w:tcPr>
            <w:tcW w:w="283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EF1B93" w14:textId="77777777" w:rsidR="00024472" w:rsidRPr="00EB1D63" w:rsidRDefault="00024472" w:rsidP="008F55E5">
            <w:pPr>
              <w:spacing w:line="240" w:lineRule="auto"/>
              <w:rPr>
                <w:rFonts w:cs="Arial"/>
                <w:color w:val="000000"/>
                <w:szCs w:val="24"/>
                <w:lang w:eastAsia="en-GB"/>
              </w:rPr>
            </w:pPr>
            <w:r w:rsidRPr="008F55E5">
              <w:rPr>
                <w:rFonts w:cs="Arial"/>
                <w:color w:val="000000" w:themeColor="text1"/>
                <w:szCs w:val="24"/>
                <w:lang w:eastAsia="en-GB"/>
              </w:rPr>
              <w:t>Third quartile</w:t>
            </w:r>
          </w:p>
        </w:tc>
        <w:tc>
          <w:tcPr>
            <w:tcW w:w="764" w:type="dxa"/>
            <w:tcBorders>
              <w:top w:val="nil"/>
              <w:left w:val="nil"/>
              <w:bottom w:val="single" w:sz="4" w:space="0" w:color="auto"/>
              <w:right w:val="single" w:sz="4" w:space="0" w:color="auto"/>
            </w:tcBorders>
            <w:shd w:val="clear" w:color="auto" w:fill="FFFFFF" w:themeFill="background1"/>
            <w:noWrap/>
            <w:vAlign w:val="bottom"/>
            <w:hideMark/>
          </w:tcPr>
          <w:p w14:paraId="58017E1D" w14:textId="0FD8A362" w:rsidR="00024472" w:rsidRPr="00EB1D63" w:rsidRDefault="006B239B" w:rsidP="008F55E5">
            <w:pPr>
              <w:spacing w:line="240" w:lineRule="auto"/>
              <w:jc w:val="right"/>
              <w:rPr>
                <w:rFonts w:cs="Arial"/>
                <w:color w:val="000000"/>
                <w:szCs w:val="24"/>
                <w:lang w:eastAsia="en-GB"/>
              </w:rPr>
            </w:pPr>
            <w:r w:rsidRPr="008F55E5">
              <w:rPr>
                <w:rFonts w:cs="Arial"/>
                <w:color w:val="000000" w:themeColor="text1"/>
                <w:szCs w:val="24"/>
                <w:lang w:eastAsia="en-GB"/>
              </w:rPr>
              <w:t>-</w:t>
            </w:r>
            <w:r w:rsidR="00024472" w:rsidRPr="008F55E5">
              <w:rPr>
                <w:rFonts w:cs="Arial"/>
                <w:color w:val="000000" w:themeColor="text1"/>
                <w:szCs w:val="24"/>
                <w:lang w:eastAsia="en-GB"/>
              </w:rPr>
              <w:t>2.7%</w:t>
            </w:r>
          </w:p>
        </w:tc>
      </w:tr>
      <w:tr w:rsidR="00024472" w:rsidRPr="00EB1D63" w14:paraId="4C0B5175" w14:textId="77777777" w:rsidTr="008F55E5">
        <w:trPr>
          <w:trHeight w:val="300"/>
        </w:trPr>
        <w:tc>
          <w:tcPr>
            <w:tcW w:w="283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84FAB3" w14:textId="3D0A2A33" w:rsidR="00024472" w:rsidRPr="00EB1D63" w:rsidRDefault="00024472" w:rsidP="008F55E5">
            <w:pPr>
              <w:spacing w:line="240" w:lineRule="auto"/>
              <w:rPr>
                <w:rFonts w:cs="Arial"/>
                <w:color w:val="000000"/>
                <w:szCs w:val="24"/>
                <w:lang w:eastAsia="en-GB"/>
              </w:rPr>
            </w:pPr>
            <w:r w:rsidRPr="008F55E5">
              <w:rPr>
                <w:rFonts w:cs="Arial"/>
                <w:color w:val="000000" w:themeColor="text1"/>
                <w:szCs w:val="24"/>
                <w:lang w:eastAsia="en-GB"/>
              </w:rPr>
              <w:t xml:space="preserve">Fourth </w:t>
            </w:r>
            <w:r w:rsidR="00425F12" w:rsidRPr="008F55E5">
              <w:rPr>
                <w:rFonts w:cs="Arial"/>
                <w:color w:val="000000" w:themeColor="text1"/>
                <w:szCs w:val="24"/>
                <w:lang w:eastAsia="en-GB"/>
              </w:rPr>
              <w:t xml:space="preserve">(upper) </w:t>
            </w:r>
            <w:r w:rsidRPr="008F55E5">
              <w:rPr>
                <w:rFonts w:cs="Arial"/>
                <w:color w:val="000000" w:themeColor="text1"/>
                <w:szCs w:val="24"/>
                <w:lang w:eastAsia="en-GB"/>
              </w:rPr>
              <w:t>quartile</w:t>
            </w:r>
          </w:p>
        </w:tc>
        <w:tc>
          <w:tcPr>
            <w:tcW w:w="764" w:type="dxa"/>
            <w:tcBorders>
              <w:top w:val="nil"/>
              <w:left w:val="nil"/>
              <w:bottom w:val="single" w:sz="4" w:space="0" w:color="auto"/>
              <w:right w:val="single" w:sz="4" w:space="0" w:color="auto"/>
            </w:tcBorders>
            <w:shd w:val="clear" w:color="auto" w:fill="FFFFFF" w:themeFill="background1"/>
            <w:noWrap/>
            <w:vAlign w:val="bottom"/>
            <w:hideMark/>
          </w:tcPr>
          <w:p w14:paraId="6C928528" w14:textId="0268EB59" w:rsidR="00024472" w:rsidRPr="00EB1D63" w:rsidRDefault="006B239B" w:rsidP="008F55E5">
            <w:pPr>
              <w:spacing w:line="240" w:lineRule="auto"/>
              <w:jc w:val="right"/>
              <w:rPr>
                <w:rFonts w:cs="Arial"/>
                <w:color w:val="000000"/>
                <w:szCs w:val="24"/>
                <w:lang w:eastAsia="en-GB"/>
              </w:rPr>
            </w:pPr>
            <w:r w:rsidRPr="008F55E5">
              <w:rPr>
                <w:rFonts w:cs="Arial"/>
                <w:color w:val="000000" w:themeColor="text1"/>
                <w:szCs w:val="24"/>
                <w:lang w:eastAsia="en-GB"/>
              </w:rPr>
              <w:t>+</w:t>
            </w:r>
            <w:r w:rsidR="00024472" w:rsidRPr="008F55E5">
              <w:rPr>
                <w:rFonts w:cs="Arial"/>
                <w:color w:val="000000" w:themeColor="text1"/>
                <w:szCs w:val="24"/>
                <w:lang w:eastAsia="en-GB"/>
              </w:rPr>
              <w:t>10.0%</w:t>
            </w:r>
          </w:p>
        </w:tc>
      </w:tr>
    </w:tbl>
    <w:p w14:paraId="29ECB594" w14:textId="78FEC993" w:rsidR="00993DE6" w:rsidRPr="00EB1D63" w:rsidRDefault="00993DE6" w:rsidP="008F55E5">
      <w:pPr>
        <w:spacing w:line="240" w:lineRule="auto"/>
        <w:jc w:val="both"/>
        <w:rPr>
          <w:rFonts w:cs="Arial"/>
          <w:szCs w:val="24"/>
        </w:rPr>
      </w:pPr>
    </w:p>
    <w:tbl>
      <w:tblPr>
        <w:tblW w:w="3805" w:type="dxa"/>
        <w:tblLook w:val="04A0" w:firstRow="1" w:lastRow="0" w:firstColumn="1" w:lastColumn="0" w:noHBand="0" w:noVBand="1"/>
      </w:tblPr>
      <w:tblGrid>
        <w:gridCol w:w="2830"/>
        <w:gridCol w:w="975"/>
      </w:tblGrid>
      <w:tr w:rsidR="006B239B" w:rsidRPr="00EB1D63" w14:paraId="479CC0FE" w14:textId="77777777" w:rsidTr="008F55E5">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7963B662" w14:textId="321E7283" w:rsidR="006B239B" w:rsidRPr="00EB1D63" w:rsidRDefault="006B239B" w:rsidP="008F55E5">
            <w:pPr>
              <w:spacing w:line="240" w:lineRule="auto"/>
              <w:jc w:val="center"/>
              <w:rPr>
                <w:rFonts w:cs="Arial"/>
                <w:b/>
                <w:bCs/>
                <w:color w:val="FFFFFF"/>
                <w:szCs w:val="24"/>
                <w:lang w:eastAsia="en-GB"/>
              </w:rPr>
            </w:pPr>
            <w:r w:rsidRPr="008F55E5">
              <w:rPr>
                <w:rFonts w:cs="Arial"/>
                <w:b/>
                <w:bCs/>
                <w:color w:val="FFFFFF" w:themeColor="background1"/>
                <w:szCs w:val="24"/>
                <w:lang w:eastAsia="en-GB"/>
              </w:rPr>
              <w:t xml:space="preserve">Changes in Bonus receipt levels </w:t>
            </w:r>
          </w:p>
        </w:tc>
        <w:tc>
          <w:tcPr>
            <w:tcW w:w="975"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0158D2D4" w14:textId="3F660A55" w:rsidR="006B239B" w:rsidRPr="00EB1D63" w:rsidRDefault="006B239B" w:rsidP="008F55E5">
            <w:pPr>
              <w:spacing w:line="240" w:lineRule="auto"/>
              <w:jc w:val="center"/>
              <w:rPr>
                <w:rFonts w:cs="Arial"/>
                <w:b/>
                <w:bCs/>
                <w:color w:val="FFFFFF"/>
                <w:szCs w:val="24"/>
                <w:lang w:eastAsia="en-GB"/>
              </w:rPr>
            </w:pPr>
            <w:r w:rsidRPr="008F55E5">
              <w:rPr>
                <w:rFonts w:cs="Arial"/>
                <w:b/>
                <w:bCs/>
                <w:color w:val="FFFFFF" w:themeColor="background1"/>
                <w:szCs w:val="24"/>
                <w:lang w:eastAsia="en-GB"/>
              </w:rPr>
              <w:t>%</w:t>
            </w:r>
          </w:p>
        </w:tc>
      </w:tr>
      <w:tr w:rsidR="006B239B" w:rsidRPr="00EB1D63" w14:paraId="6A80BB17" w14:textId="77777777" w:rsidTr="008F55E5">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0388DA" w14:textId="77777777" w:rsidR="006B239B" w:rsidRPr="00EB1D63" w:rsidRDefault="006B239B" w:rsidP="008F55E5">
            <w:pPr>
              <w:spacing w:line="240" w:lineRule="auto"/>
              <w:rPr>
                <w:rFonts w:cs="Arial"/>
                <w:color w:val="000000"/>
                <w:szCs w:val="24"/>
                <w:lang w:eastAsia="en-GB"/>
              </w:rPr>
            </w:pPr>
            <w:r w:rsidRPr="008F55E5">
              <w:rPr>
                <w:rFonts w:cs="Arial"/>
                <w:color w:val="000000" w:themeColor="text1"/>
                <w:szCs w:val="24"/>
                <w:lang w:eastAsia="en-GB"/>
              </w:rPr>
              <w:t>% Bonus - M</w:t>
            </w:r>
          </w:p>
        </w:tc>
        <w:tc>
          <w:tcPr>
            <w:tcW w:w="9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A5DFA0" w14:textId="77777777" w:rsidR="006B239B" w:rsidRPr="00EB1D63" w:rsidRDefault="006B239B" w:rsidP="008F55E5">
            <w:pPr>
              <w:spacing w:line="240" w:lineRule="auto"/>
              <w:jc w:val="right"/>
              <w:rPr>
                <w:rFonts w:cs="Arial"/>
                <w:color w:val="000000"/>
                <w:szCs w:val="24"/>
                <w:lang w:eastAsia="en-GB"/>
              </w:rPr>
            </w:pPr>
            <w:r w:rsidRPr="008F55E5">
              <w:rPr>
                <w:rFonts w:cs="Arial"/>
                <w:color w:val="000000" w:themeColor="text1"/>
                <w:szCs w:val="24"/>
                <w:lang w:eastAsia="en-GB"/>
              </w:rPr>
              <w:t>10.2%</w:t>
            </w:r>
          </w:p>
        </w:tc>
      </w:tr>
      <w:tr w:rsidR="006B239B" w:rsidRPr="00EB1D63" w14:paraId="0952DB00" w14:textId="77777777" w:rsidTr="008F55E5">
        <w:trPr>
          <w:trHeight w:val="300"/>
        </w:trPr>
        <w:tc>
          <w:tcPr>
            <w:tcW w:w="283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964382" w14:textId="77777777" w:rsidR="006B239B" w:rsidRPr="00EB1D63" w:rsidRDefault="006B239B" w:rsidP="008F55E5">
            <w:pPr>
              <w:spacing w:line="240" w:lineRule="auto"/>
              <w:rPr>
                <w:rFonts w:cs="Arial"/>
                <w:color w:val="000000"/>
                <w:szCs w:val="24"/>
                <w:lang w:eastAsia="en-GB"/>
              </w:rPr>
            </w:pPr>
            <w:r w:rsidRPr="008F55E5">
              <w:rPr>
                <w:rFonts w:cs="Arial"/>
                <w:color w:val="000000" w:themeColor="text1"/>
                <w:szCs w:val="24"/>
                <w:lang w:eastAsia="en-GB"/>
              </w:rPr>
              <w:t>% Bonus - F</w:t>
            </w:r>
          </w:p>
        </w:tc>
        <w:tc>
          <w:tcPr>
            <w:tcW w:w="975" w:type="dxa"/>
            <w:tcBorders>
              <w:top w:val="nil"/>
              <w:left w:val="nil"/>
              <w:bottom w:val="single" w:sz="4" w:space="0" w:color="auto"/>
              <w:right w:val="single" w:sz="4" w:space="0" w:color="auto"/>
            </w:tcBorders>
            <w:shd w:val="clear" w:color="auto" w:fill="FFFFFF" w:themeFill="background1"/>
            <w:noWrap/>
            <w:vAlign w:val="bottom"/>
            <w:hideMark/>
          </w:tcPr>
          <w:p w14:paraId="0AA8D07C" w14:textId="77777777" w:rsidR="006B239B" w:rsidRPr="00EB1D63" w:rsidRDefault="006B239B" w:rsidP="008F55E5">
            <w:pPr>
              <w:spacing w:line="240" w:lineRule="auto"/>
              <w:jc w:val="right"/>
              <w:rPr>
                <w:rFonts w:cs="Arial"/>
                <w:color w:val="000000"/>
                <w:szCs w:val="24"/>
                <w:lang w:eastAsia="en-GB"/>
              </w:rPr>
            </w:pPr>
            <w:r w:rsidRPr="008F55E5">
              <w:rPr>
                <w:rFonts w:cs="Arial"/>
                <w:color w:val="000000" w:themeColor="text1"/>
                <w:szCs w:val="24"/>
                <w:lang w:eastAsia="en-GB"/>
              </w:rPr>
              <w:t>7.7%</w:t>
            </w:r>
          </w:p>
        </w:tc>
      </w:tr>
    </w:tbl>
    <w:p w14:paraId="648FCC46" w14:textId="0A482274" w:rsidR="006B239B" w:rsidRPr="00EB1D63" w:rsidRDefault="006B239B" w:rsidP="008F55E5">
      <w:pPr>
        <w:spacing w:line="240" w:lineRule="auto"/>
        <w:jc w:val="both"/>
        <w:rPr>
          <w:rFonts w:cs="Arial"/>
          <w:szCs w:val="24"/>
        </w:rPr>
      </w:pPr>
      <w:r>
        <w:br/>
      </w:r>
    </w:p>
    <w:p w14:paraId="2ECE4B33" w14:textId="0270E23D" w:rsidR="00993DE6" w:rsidRPr="00EB1D63" w:rsidRDefault="00F72FE2" w:rsidP="008F55E5">
      <w:pPr>
        <w:spacing w:line="240" w:lineRule="auto"/>
        <w:jc w:val="both"/>
        <w:rPr>
          <w:rFonts w:cs="Arial"/>
          <w:szCs w:val="24"/>
        </w:rPr>
      </w:pPr>
      <w:r w:rsidRPr="008F55E5">
        <w:rPr>
          <w:rFonts w:cs="Arial"/>
          <w:szCs w:val="24"/>
        </w:rPr>
        <w:t xml:space="preserve">The </w:t>
      </w:r>
      <w:r w:rsidR="00993DE6" w:rsidRPr="008F55E5">
        <w:rPr>
          <w:rFonts w:cs="Arial"/>
          <w:szCs w:val="24"/>
        </w:rPr>
        <w:t xml:space="preserve">median </w:t>
      </w:r>
      <w:r w:rsidR="00593B5B" w:rsidRPr="008F55E5">
        <w:rPr>
          <w:rFonts w:cs="Arial"/>
          <w:szCs w:val="24"/>
        </w:rPr>
        <w:t xml:space="preserve">gender </w:t>
      </w:r>
      <w:r w:rsidR="00993DE6" w:rsidRPr="008F55E5">
        <w:rPr>
          <w:rFonts w:cs="Arial"/>
          <w:szCs w:val="24"/>
        </w:rPr>
        <w:t>pay gap has increased</w:t>
      </w:r>
      <w:r w:rsidR="006B239B" w:rsidRPr="008F55E5">
        <w:rPr>
          <w:rFonts w:cs="Arial"/>
          <w:szCs w:val="24"/>
        </w:rPr>
        <w:t xml:space="preserve"> from 2.2% at 2022 year</w:t>
      </w:r>
      <w:r w:rsidR="73667B20" w:rsidRPr="008F55E5">
        <w:rPr>
          <w:rFonts w:cs="Arial"/>
          <w:szCs w:val="24"/>
        </w:rPr>
        <w:t>-</w:t>
      </w:r>
      <w:r w:rsidR="006B239B" w:rsidRPr="008F55E5">
        <w:rPr>
          <w:rFonts w:cs="Arial"/>
          <w:szCs w:val="24"/>
        </w:rPr>
        <w:t>end to 4.7% at 2023 year</w:t>
      </w:r>
      <w:r w:rsidR="777F83A0" w:rsidRPr="008F55E5">
        <w:rPr>
          <w:rFonts w:cs="Arial"/>
          <w:szCs w:val="24"/>
        </w:rPr>
        <w:t>-</w:t>
      </w:r>
      <w:r w:rsidR="006B239B" w:rsidRPr="008F55E5">
        <w:rPr>
          <w:rFonts w:cs="Arial"/>
          <w:szCs w:val="24"/>
        </w:rPr>
        <w:t xml:space="preserve">end. This reflects an increase in male staff in the highest salary quartile by 10% and a fall in their numbers in the lowest salary quartile of 7.7%. </w:t>
      </w:r>
    </w:p>
    <w:p w14:paraId="5E058584" w14:textId="24E747DD" w:rsidR="006B239B" w:rsidRPr="00EB1D63" w:rsidRDefault="006B239B" w:rsidP="008F55E5">
      <w:pPr>
        <w:spacing w:line="240" w:lineRule="auto"/>
        <w:jc w:val="both"/>
        <w:rPr>
          <w:rFonts w:cs="Arial"/>
          <w:szCs w:val="24"/>
        </w:rPr>
      </w:pPr>
      <w:r>
        <w:br/>
      </w:r>
      <w:r w:rsidRPr="008F55E5">
        <w:rPr>
          <w:rFonts w:cs="Arial"/>
          <w:szCs w:val="24"/>
        </w:rPr>
        <w:t>There are still more female than male staff in the highest paying quartile (61% compared to 39% respectively) but this proportion is not fully representative of the overall percentage of female staff (which is 68.6% of total headcount).</w:t>
      </w:r>
    </w:p>
    <w:p w14:paraId="46DC8722" w14:textId="77777777" w:rsidR="006B239B" w:rsidRPr="00EB1D63" w:rsidRDefault="006B239B" w:rsidP="008F55E5">
      <w:pPr>
        <w:spacing w:line="240" w:lineRule="auto"/>
        <w:jc w:val="both"/>
        <w:rPr>
          <w:rFonts w:cs="Arial"/>
          <w:szCs w:val="24"/>
        </w:rPr>
      </w:pPr>
    </w:p>
    <w:p w14:paraId="4866FAAD" w14:textId="5418F754" w:rsidR="006B239B" w:rsidRPr="00EB1D63" w:rsidRDefault="006B239B" w:rsidP="008F55E5">
      <w:pPr>
        <w:spacing w:line="240" w:lineRule="auto"/>
        <w:jc w:val="both"/>
        <w:rPr>
          <w:rFonts w:cs="Arial"/>
          <w:szCs w:val="24"/>
        </w:rPr>
      </w:pPr>
      <w:r w:rsidRPr="008F55E5">
        <w:rPr>
          <w:rFonts w:cs="Arial"/>
          <w:szCs w:val="24"/>
        </w:rPr>
        <w:t xml:space="preserve">As 2022-23 was a year of </w:t>
      </w:r>
      <w:r w:rsidR="00CF5C93" w:rsidRPr="008F55E5">
        <w:rPr>
          <w:rFonts w:cs="Arial"/>
          <w:szCs w:val="24"/>
        </w:rPr>
        <w:t>business-as-usual</w:t>
      </w:r>
      <w:r w:rsidRPr="008F55E5">
        <w:rPr>
          <w:rFonts w:cs="Arial"/>
          <w:szCs w:val="24"/>
        </w:rPr>
        <w:t xml:space="preserve"> staff headcount turnover, without any major new starter or leaver events, this change reflects day to day hiring and promotion decisions. </w:t>
      </w:r>
      <w:r w:rsidR="00DB5E4A" w:rsidRPr="008F55E5">
        <w:rPr>
          <w:rFonts w:cs="Arial"/>
          <w:color w:val="000000"/>
          <w:szCs w:val="24"/>
          <w:shd w:val="clear" w:color="auto" w:fill="FFFFFF"/>
        </w:rPr>
        <w:t xml:space="preserve"> </w:t>
      </w:r>
      <w:r w:rsidR="00DB5E4A" w:rsidRPr="008F55E5">
        <w:rPr>
          <w:rStyle w:val="normaltextrun"/>
          <w:rFonts w:cs="Arial"/>
          <w:color w:val="000000" w:themeColor="text1"/>
          <w:szCs w:val="24"/>
        </w:rPr>
        <w:t>To help attract candidates from the broadest possible range of backgrounds we’ve</w:t>
      </w:r>
      <w:r w:rsidR="00DB5E4A" w:rsidRPr="008F55E5">
        <w:rPr>
          <w:rStyle w:val="normaltextrun"/>
          <w:rFonts w:cs="Arial"/>
          <w:color w:val="000000"/>
          <w:szCs w:val="24"/>
          <w:shd w:val="clear" w:color="auto" w:fill="FFFFFF"/>
        </w:rPr>
        <w:t xml:space="preserve"> introduced more skills-based recruitment, and reviewed the platforms we advertise on.  </w:t>
      </w:r>
    </w:p>
    <w:p w14:paraId="7DEC1894" w14:textId="77777777" w:rsidR="00993DE6" w:rsidRPr="00EB1D63" w:rsidRDefault="00993DE6" w:rsidP="008F55E5">
      <w:pPr>
        <w:spacing w:line="240" w:lineRule="auto"/>
        <w:jc w:val="both"/>
        <w:rPr>
          <w:rFonts w:cs="Arial"/>
          <w:szCs w:val="24"/>
        </w:rPr>
      </w:pPr>
    </w:p>
    <w:p w14:paraId="022EBB85" w14:textId="37D58296" w:rsidR="00264D84" w:rsidRPr="00EB1D63" w:rsidRDefault="00CF5C93" w:rsidP="008F55E5">
      <w:pPr>
        <w:spacing w:line="240" w:lineRule="auto"/>
        <w:jc w:val="both"/>
        <w:rPr>
          <w:rFonts w:cs="Arial"/>
          <w:szCs w:val="24"/>
        </w:rPr>
      </w:pPr>
      <w:r w:rsidRPr="008F55E5">
        <w:rPr>
          <w:rFonts w:cs="Arial"/>
          <w:szCs w:val="24"/>
        </w:rPr>
        <w:t>As in the previous year</w:t>
      </w:r>
      <w:r w:rsidR="00AD7029" w:rsidRPr="008F55E5">
        <w:rPr>
          <w:rFonts w:cs="Arial"/>
          <w:szCs w:val="24"/>
        </w:rPr>
        <w:t>s</w:t>
      </w:r>
      <w:r w:rsidRPr="008F55E5">
        <w:rPr>
          <w:rFonts w:cs="Arial"/>
          <w:szCs w:val="24"/>
        </w:rPr>
        <w:t xml:space="preserve">, </w:t>
      </w:r>
      <w:r w:rsidR="00AD7029" w:rsidRPr="008F55E5">
        <w:rPr>
          <w:rFonts w:cs="Arial"/>
          <w:szCs w:val="24"/>
        </w:rPr>
        <w:t xml:space="preserve">a </w:t>
      </w:r>
      <w:r w:rsidR="00993DE6" w:rsidRPr="008F55E5">
        <w:rPr>
          <w:rFonts w:cs="Arial"/>
          <w:szCs w:val="24"/>
        </w:rPr>
        <w:t xml:space="preserve">bonus </w:t>
      </w:r>
      <w:r w:rsidRPr="008F55E5">
        <w:rPr>
          <w:rFonts w:cs="Arial"/>
          <w:szCs w:val="24"/>
        </w:rPr>
        <w:t xml:space="preserve">was paid to all non-executive staff as a </w:t>
      </w:r>
      <w:r w:rsidR="00993DE6" w:rsidRPr="008F55E5">
        <w:rPr>
          <w:rFonts w:cs="Arial"/>
          <w:szCs w:val="24"/>
        </w:rPr>
        <w:t xml:space="preserve">flat </w:t>
      </w:r>
      <w:r w:rsidR="00AD7029" w:rsidRPr="008F55E5">
        <w:rPr>
          <w:rFonts w:cs="Arial"/>
          <w:szCs w:val="24"/>
        </w:rPr>
        <w:t xml:space="preserve">cash </w:t>
      </w:r>
      <w:r w:rsidR="00993DE6" w:rsidRPr="008F55E5">
        <w:rPr>
          <w:rFonts w:cs="Arial"/>
          <w:szCs w:val="24"/>
        </w:rPr>
        <w:t>rate</w:t>
      </w:r>
      <w:r w:rsidRPr="008F55E5">
        <w:rPr>
          <w:rFonts w:cs="Arial"/>
          <w:szCs w:val="24"/>
        </w:rPr>
        <w:t xml:space="preserve"> of £266. This explains why the </w:t>
      </w:r>
      <w:r w:rsidR="00993DE6" w:rsidRPr="008F55E5">
        <w:rPr>
          <w:rFonts w:cs="Arial"/>
          <w:szCs w:val="24"/>
        </w:rPr>
        <w:t xml:space="preserve">median </w:t>
      </w:r>
      <w:r w:rsidR="00AD7029" w:rsidRPr="008F55E5">
        <w:rPr>
          <w:rFonts w:cs="Arial"/>
          <w:szCs w:val="24"/>
        </w:rPr>
        <w:t xml:space="preserve">is </w:t>
      </w:r>
      <w:r w:rsidR="00993DE6" w:rsidRPr="008F55E5">
        <w:rPr>
          <w:rFonts w:cs="Arial"/>
          <w:szCs w:val="24"/>
        </w:rPr>
        <w:t>zero. However</w:t>
      </w:r>
      <w:r w:rsidRPr="008F55E5">
        <w:rPr>
          <w:rFonts w:cs="Arial"/>
          <w:szCs w:val="24"/>
        </w:rPr>
        <w:t>,</w:t>
      </w:r>
      <w:r w:rsidR="00993DE6" w:rsidRPr="008F55E5">
        <w:rPr>
          <w:rFonts w:cs="Arial"/>
          <w:szCs w:val="24"/>
        </w:rPr>
        <w:t xml:space="preserve"> the gender gap in the mean bonus</w:t>
      </w:r>
      <w:r w:rsidRPr="008F55E5">
        <w:rPr>
          <w:rFonts w:cs="Arial"/>
          <w:szCs w:val="24"/>
        </w:rPr>
        <w:t xml:space="preserve"> figure</w:t>
      </w:r>
      <w:r w:rsidR="00993DE6" w:rsidRPr="008F55E5">
        <w:rPr>
          <w:rFonts w:cs="Arial"/>
          <w:szCs w:val="24"/>
        </w:rPr>
        <w:t xml:space="preserve"> reflects the fact that we do not pay this </w:t>
      </w:r>
      <w:r w:rsidRPr="008F55E5">
        <w:rPr>
          <w:rFonts w:cs="Arial"/>
          <w:szCs w:val="24"/>
        </w:rPr>
        <w:t xml:space="preserve">bonus </w:t>
      </w:r>
      <w:r w:rsidR="00993DE6" w:rsidRPr="008F55E5">
        <w:rPr>
          <w:rFonts w:cs="Arial"/>
          <w:szCs w:val="24"/>
        </w:rPr>
        <w:t xml:space="preserve">to staff </w:t>
      </w:r>
      <w:r w:rsidRPr="008F55E5">
        <w:rPr>
          <w:rFonts w:cs="Arial"/>
          <w:szCs w:val="24"/>
        </w:rPr>
        <w:t xml:space="preserve">who are still in their probationary period </w:t>
      </w:r>
      <w:r w:rsidR="00993DE6" w:rsidRPr="008F55E5">
        <w:rPr>
          <w:rFonts w:cs="Arial"/>
          <w:szCs w:val="24"/>
        </w:rPr>
        <w:t>(in their first six months of service)</w:t>
      </w:r>
      <w:r w:rsidR="00AD7029" w:rsidRPr="008F55E5">
        <w:rPr>
          <w:rFonts w:cs="Arial"/>
          <w:szCs w:val="24"/>
        </w:rPr>
        <w:t>. This then</w:t>
      </w:r>
      <w:r w:rsidR="00993DE6" w:rsidRPr="008F55E5">
        <w:rPr>
          <w:rFonts w:cs="Arial"/>
          <w:szCs w:val="24"/>
        </w:rPr>
        <w:t xml:space="preserve"> reflects </w:t>
      </w:r>
      <w:r w:rsidR="00DD11D6" w:rsidRPr="008F55E5">
        <w:rPr>
          <w:rFonts w:cs="Arial"/>
          <w:szCs w:val="24"/>
        </w:rPr>
        <w:t>the large</w:t>
      </w:r>
      <w:r w:rsidR="00AD7029" w:rsidRPr="008F55E5">
        <w:rPr>
          <w:rFonts w:cs="Arial"/>
          <w:szCs w:val="24"/>
        </w:rPr>
        <w:t>r</w:t>
      </w:r>
      <w:r w:rsidR="00DD11D6" w:rsidRPr="008F55E5">
        <w:rPr>
          <w:rFonts w:cs="Arial"/>
          <w:szCs w:val="24"/>
        </w:rPr>
        <w:t xml:space="preserve"> number of new employees who were female in 2022</w:t>
      </w:r>
      <w:r w:rsidRPr="008F55E5">
        <w:rPr>
          <w:rFonts w:cs="Arial"/>
          <w:szCs w:val="24"/>
        </w:rPr>
        <w:t>-23</w:t>
      </w:r>
      <w:r w:rsidR="00DD11D6" w:rsidRPr="008F55E5">
        <w:rPr>
          <w:rFonts w:cs="Arial"/>
          <w:szCs w:val="24"/>
        </w:rPr>
        <w:t>.</w:t>
      </w:r>
    </w:p>
    <w:p w14:paraId="3E0CAD84" w14:textId="30C1030B" w:rsidR="008F55E5" w:rsidRDefault="008F55E5" w:rsidP="008F55E5">
      <w:pPr>
        <w:spacing w:line="240" w:lineRule="auto"/>
        <w:jc w:val="both"/>
        <w:rPr>
          <w:rFonts w:cs="Arial"/>
          <w:szCs w:val="24"/>
        </w:rPr>
      </w:pPr>
    </w:p>
    <w:p w14:paraId="703AA7F1" w14:textId="3FE6D10D" w:rsidR="00A3302F" w:rsidRPr="00EB1D63" w:rsidRDefault="00264D84" w:rsidP="008F55E5">
      <w:pPr>
        <w:spacing w:line="240" w:lineRule="auto"/>
        <w:jc w:val="both"/>
        <w:rPr>
          <w:rFonts w:cs="Arial"/>
          <w:noProof/>
          <w:szCs w:val="24"/>
        </w:rPr>
      </w:pPr>
      <w:r w:rsidRPr="008F55E5">
        <w:rPr>
          <w:rFonts w:cs="Arial"/>
          <w:szCs w:val="24"/>
        </w:rPr>
        <w:t>As a comparator, the Civil Service median pay gap in 202</w:t>
      </w:r>
      <w:r w:rsidR="00AD7029" w:rsidRPr="008F55E5">
        <w:rPr>
          <w:rFonts w:cs="Arial"/>
          <w:szCs w:val="24"/>
        </w:rPr>
        <w:t xml:space="preserve">3 is 9.6% and </w:t>
      </w:r>
      <w:r w:rsidRPr="008F55E5">
        <w:rPr>
          <w:rFonts w:cs="Arial"/>
          <w:szCs w:val="24"/>
        </w:rPr>
        <w:t xml:space="preserve">its mean pay gap is </w:t>
      </w:r>
      <w:r w:rsidR="00AD7029" w:rsidRPr="008F55E5">
        <w:rPr>
          <w:rFonts w:cs="Arial"/>
          <w:szCs w:val="24"/>
        </w:rPr>
        <w:t>8.1%.</w:t>
      </w:r>
      <w:r w:rsidR="00425F12" w:rsidRPr="008F55E5">
        <w:rPr>
          <w:rFonts w:cs="Arial"/>
          <w:szCs w:val="24"/>
        </w:rPr>
        <w:t xml:space="preserve">  </w:t>
      </w:r>
      <w:hyperlink r:id="rId8" w:anchor="gender-pay-gap">
        <w:r w:rsidR="682DC14A" w:rsidRPr="008F55E5">
          <w:rPr>
            <w:rStyle w:val="Hyperlink"/>
            <w:szCs w:val="24"/>
          </w:rPr>
          <w:t>The data is available here on GOV.UK</w:t>
        </w:r>
      </w:hyperlink>
    </w:p>
    <w:p w14:paraId="7ECE0A86" w14:textId="7169AE61" w:rsidR="00024472" w:rsidRDefault="00024472" w:rsidP="008F55E5">
      <w:pPr>
        <w:spacing w:line="240" w:lineRule="auto"/>
        <w:jc w:val="both"/>
        <w:rPr>
          <w:rFonts w:cs="Arial"/>
          <w:szCs w:val="24"/>
        </w:rPr>
      </w:pPr>
      <w:r>
        <w:rPr>
          <w:noProof/>
        </w:rPr>
        <w:drawing>
          <wp:inline distT="0" distB="0" distL="0" distR="0" wp14:anchorId="50381C80" wp14:editId="586EB683">
            <wp:extent cx="5587364" cy="3286760"/>
            <wp:effectExtent l="0" t="0" r="0" b="8890"/>
            <wp:docPr id="3" name="Picture 2" descr="A graph of a graph with numbers and a number of men and wom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EDA7631B-9FE4-524E-9036-BDB95F3BB3F1}"/>
                        </a:ext>
                      </a:extLst>
                    </a:blip>
                    <a:stretch>
                      <a:fillRect/>
                    </a:stretch>
                  </pic:blipFill>
                  <pic:spPr>
                    <a:xfrm>
                      <a:off x="0" y="0"/>
                      <a:ext cx="5587364" cy="3286760"/>
                    </a:xfrm>
                    <a:prstGeom prst="rect">
                      <a:avLst/>
                    </a:prstGeom>
                  </pic:spPr>
                </pic:pic>
              </a:graphicData>
            </a:graphic>
          </wp:inline>
        </w:drawing>
      </w:r>
    </w:p>
    <w:p w14:paraId="0908C2DD" w14:textId="69786D3B" w:rsidR="00993DE6" w:rsidRPr="00EB1D63" w:rsidRDefault="00DD11D6" w:rsidP="008F55E5">
      <w:pPr>
        <w:spacing w:line="240" w:lineRule="auto"/>
        <w:rPr>
          <w:rFonts w:cs="Arial"/>
          <w:b/>
          <w:bCs/>
          <w:szCs w:val="24"/>
        </w:rPr>
      </w:pPr>
      <w:r w:rsidRPr="008F55E5">
        <w:rPr>
          <w:rFonts w:cs="Arial"/>
          <w:b/>
          <w:bCs/>
          <w:szCs w:val="24"/>
        </w:rPr>
        <w:t>Ethnicity Pay Gap Analysis</w:t>
      </w:r>
      <w:r w:rsidR="00593B5B" w:rsidRPr="008F55E5">
        <w:rPr>
          <w:rFonts w:cs="Arial"/>
          <w:b/>
          <w:bCs/>
          <w:szCs w:val="24"/>
        </w:rPr>
        <w:t xml:space="preserve"> – Arts Council England</w:t>
      </w:r>
    </w:p>
    <w:p w14:paraId="1C9FD800" w14:textId="387E6313" w:rsidR="00DD11D6" w:rsidRPr="00EB1D63" w:rsidRDefault="00DD11D6" w:rsidP="008F55E5">
      <w:pPr>
        <w:spacing w:line="240" w:lineRule="auto"/>
        <w:rPr>
          <w:rFonts w:cs="Arial"/>
          <w:b/>
          <w:bCs/>
          <w:szCs w:val="24"/>
        </w:rPr>
      </w:pPr>
      <w:r w:rsidRPr="008F55E5">
        <w:rPr>
          <w:rFonts w:cs="Arial"/>
          <w:b/>
          <w:bCs/>
          <w:szCs w:val="24"/>
        </w:rPr>
        <w:t>31 March 202</w:t>
      </w:r>
      <w:r w:rsidR="00593B5B" w:rsidRPr="008F55E5">
        <w:rPr>
          <w:rFonts w:cs="Arial"/>
          <w:b/>
          <w:bCs/>
          <w:szCs w:val="24"/>
        </w:rPr>
        <w:t>3</w:t>
      </w:r>
    </w:p>
    <w:p w14:paraId="4D0AAB17" w14:textId="2D526D85" w:rsidR="00DD11D6" w:rsidRPr="00EB1D63" w:rsidRDefault="00DD11D6" w:rsidP="008F55E5">
      <w:pPr>
        <w:spacing w:line="240" w:lineRule="auto"/>
        <w:rPr>
          <w:rFonts w:cs="Arial"/>
          <w:szCs w:val="24"/>
        </w:rPr>
      </w:pPr>
    </w:p>
    <w:tbl>
      <w:tblPr>
        <w:tblW w:w="8640" w:type="dxa"/>
        <w:tblLook w:val="04A0" w:firstRow="1" w:lastRow="0" w:firstColumn="1" w:lastColumn="0" w:noHBand="0" w:noVBand="1"/>
      </w:tblPr>
      <w:tblGrid>
        <w:gridCol w:w="3823"/>
        <w:gridCol w:w="1842"/>
        <w:gridCol w:w="2015"/>
        <w:gridCol w:w="960"/>
      </w:tblGrid>
      <w:tr w:rsidR="00593B5B" w:rsidRPr="00EB1D63" w14:paraId="51FD76C1" w14:textId="77777777" w:rsidTr="008F55E5">
        <w:trPr>
          <w:trHeight w:val="300"/>
        </w:trPr>
        <w:tc>
          <w:tcPr>
            <w:tcW w:w="7680" w:type="dxa"/>
            <w:gridSpan w:val="3"/>
            <w:tcBorders>
              <w:top w:val="single" w:sz="4" w:space="0" w:color="auto"/>
              <w:left w:val="single" w:sz="4" w:space="0" w:color="auto"/>
              <w:bottom w:val="single" w:sz="4" w:space="0" w:color="auto"/>
              <w:right w:val="single" w:sz="4" w:space="0" w:color="000000" w:themeColor="text1"/>
            </w:tcBorders>
            <w:shd w:val="clear" w:color="auto" w:fill="A6A6A6" w:themeFill="background1" w:themeFillShade="A6"/>
            <w:noWrap/>
            <w:vAlign w:val="bottom"/>
            <w:hideMark/>
          </w:tcPr>
          <w:p w14:paraId="47A08F5A" w14:textId="77777777" w:rsidR="00593B5B" w:rsidRPr="00EB1D63" w:rsidRDefault="00593B5B" w:rsidP="008F55E5">
            <w:pPr>
              <w:spacing w:line="240" w:lineRule="auto"/>
              <w:jc w:val="center"/>
              <w:rPr>
                <w:rFonts w:cs="Arial"/>
                <w:color w:val="000000"/>
                <w:szCs w:val="24"/>
                <w:lang w:eastAsia="en-GB"/>
              </w:rPr>
            </w:pPr>
            <w:r w:rsidRPr="008F55E5">
              <w:rPr>
                <w:rFonts w:cs="Arial"/>
                <w:color w:val="000000" w:themeColor="text1"/>
                <w:szCs w:val="24"/>
                <w:lang w:eastAsia="en-GB"/>
              </w:rPr>
              <w:t> </w:t>
            </w:r>
          </w:p>
        </w:tc>
        <w:tc>
          <w:tcPr>
            <w:tcW w:w="9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75A83B72" w14:textId="77777777" w:rsidR="00593B5B" w:rsidRPr="00EB1D63" w:rsidRDefault="00593B5B" w:rsidP="008F55E5">
            <w:pPr>
              <w:spacing w:line="240" w:lineRule="auto"/>
              <w:jc w:val="center"/>
              <w:rPr>
                <w:rFonts w:cs="Arial"/>
                <w:b/>
                <w:bCs/>
                <w:color w:val="FFFFFF"/>
                <w:szCs w:val="24"/>
                <w:lang w:eastAsia="en-GB"/>
              </w:rPr>
            </w:pPr>
            <w:r w:rsidRPr="008F55E5">
              <w:rPr>
                <w:rFonts w:cs="Arial"/>
                <w:b/>
                <w:bCs/>
                <w:color w:val="FFFFFF" w:themeColor="background1"/>
                <w:szCs w:val="24"/>
                <w:lang w:eastAsia="en-GB"/>
              </w:rPr>
              <w:t>%</w:t>
            </w:r>
          </w:p>
        </w:tc>
      </w:tr>
      <w:tr w:rsidR="00593B5B" w:rsidRPr="00EB1D63" w14:paraId="305D20F5" w14:textId="77777777" w:rsidTr="008F55E5">
        <w:trPr>
          <w:trHeight w:val="300"/>
        </w:trPr>
        <w:tc>
          <w:tcPr>
            <w:tcW w:w="7680"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03C1AB26" w14:textId="77777777" w:rsidR="00593B5B" w:rsidRPr="00EB1D63" w:rsidRDefault="00593B5B" w:rsidP="008F55E5">
            <w:pPr>
              <w:spacing w:line="240" w:lineRule="auto"/>
              <w:rPr>
                <w:rFonts w:cs="Arial"/>
                <w:color w:val="000000"/>
                <w:szCs w:val="24"/>
                <w:lang w:eastAsia="en-GB"/>
              </w:rPr>
            </w:pPr>
            <w:r w:rsidRPr="008F55E5">
              <w:rPr>
                <w:rFonts w:cs="Arial"/>
                <w:color w:val="000000" w:themeColor="text1"/>
                <w:szCs w:val="24"/>
                <w:lang w:eastAsia="en-GB"/>
              </w:rPr>
              <w:t>1. Mean ethnicity pay gap - Ordinary pay</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37CF8CE6" w14:textId="77777777" w:rsidR="00593B5B" w:rsidRPr="00EB1D63" w:rsidRDefault="00593B5B" w:rsidP="008F55E5">
            <w:pPr>
              <w:spacing w:line="240" w:lineRule="auto"/>
              <w:jc w:val="right"/>
              <w:rPr>
                <w:rFonts w:cs="Arial"/>
                <w:b/>
                <w:bCs/>
                <w:szCs w:val="24"/>
                <w:lang w:eastAsia="en-GB"/>
              </w:rPr>
            </w:pPr>
            <w:r w:rsidRPr="008F55E5">
              <w:rPr>
                <w:rFonts w:cs="Arial"/>
                <w:b/>
                <w:bCs/>
                <w:szCs w:val="24"/>
                <w:lang w:eastAsia="en-GB"/>
              </w:rPr>
              <w:t>-7.2%</w:t>
            </w:r>
          </w:p>
        </w:tc>
      </w:tr>
      <w:tr w:rsidR="00593B5B" w:rsidRPr="00EB1D63" w14:paraId="163904FE" w14:textId="77777777" w:rsidTr="008F55E5">
        <w:trPr>
          <w:trHeight w:val="300"/>
        </w:trPr>
        <w:tc>
          <w:tcPr>
            <w:tcW w:w="7680"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7FC622D4" w14:textId="77777777" w:rsidR="00593B5B" w:rsidRPr="00EB1D63" w:rsidRDefault="00593B5B" w:rsidP="008F55E5">
            <w:pPr>
              <w:spacing w:line="240" w:lineRule="auto"/>
              <w:rPr>
                <w:rFonts w:cs="Arial"/>
                <w:color w:val="000000"/>
                <w:szCs w:val="24"/>
                <w:lang w:eastAsia="en-GB"/>
              </w:rPr>
            </w:pPr>
            <w:r w:rsidRPr="008F55E5">
              <w:rPr>
                <w:rFonts w:cs="Arial"/>
                <w:color w:val="000000" w:themeColor="text1"/>
                <w:szCs w:val="24"/>
                <w:lang w:eastAsia="en-GB"/>
              </w:rPr>
              <w:t>2. Median ethnicity pay gap - Ordinary pay</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6F331852" w14:textId="77777777" w:rsidR="00593B5B" w:rsidRPr="00EB1D63" w:rsidRDefault="00593B5B" w:rsidP="008F55E5">
            <w:pPr>
              <w:spacing w:line="240" w:lineRule="auto"/>
              <w:jc w:val="right"/>
              <w:rPr>
                <w:rFonts w:cs="Arial"/>
                <w:b/>
                <w:bCs/>
                <w:szCs w:val="24"/>
                <w:lang w:eastAsia="en-GB"/>
              </w:rPr>
            </w:pPr>
            <w:r w:rsidRPr="008F55E5">
              <w:rPr>
                <w:rFonts w:cs="Arial"/>
                <w:b/>
                <w:bCs/>
                <w:szCs w:val="24"/>
                <w:lang w:eastAsia="en-GB"/>
              </w:rPr>
              <w:t>-5.0%</w:t>
            </w:r>
          </w:p>
        </w:tc>
      </w:tr>
      <w:tr w:rsidR="00593B5B" w:rsidRPr="00EB1D63" w14:paraId="4D65A790" w14:textId="77777777" w:rsidTr="008F55E5">
        <w:trPr>
          <w:trHeight w:val="300"/>
        </w:trPr>
        <w:tc>
          <w:tcPr>
            <w:tcW w:w="7680"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248139D9" w14:textId="77777777" w:rsidR="00593B5B" w:rsidRPr="00EB1D63" w:rsidRDefault="00593B5B" w:rsidP="008F55E5">
            <w:pPr>
              <w:spacing w:line="240" w:lineRule="auto"/>
              <w:rPr>
                <w:rFonts w:cs="Arial"/>
                <w:color w:val="000000"/>
                <w:szCs w:val="24"/>
                <w:lang w:eastAsia="en-GB"/>
              </w:rPr>
            </w:pPr>
            <w:r w:rsidRPr="008F55E5">
              <w:rPr>
                <w:rFonts w:cs="Arial"/>
                <w:color w:val="000000" w:themeColor="text1"/>
                <w:szCs w:val="24"/>
                <w:lang w:eastAsia="en-GB"/>
              </w:rPr>
              <w:t>3. Mean ethnicity pay gap - Bonus pay in the 12 months ending 31 March</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0C950ECE" w14:textId="77777777" w:rsidR="00593B5B" w:rsidRPr="00EB1D63" w:rsidRDefault="00593B5B" w:rsidP="008F55E5">
            <w:pPr>
              <w:spacing w:line="240" w:lineRule="auto"/>
              <w:jc w:val="right"/>
              <w:rPr>
                <w:rFonts w:cs="Arial"/>
                <w:b/>
                <w:bCs/>
                <w:szCs w:val="24"/>
                <w:lang w:eastAsia="en-GB"/>
              </w:rPr>
            </w:pPr>
            <w:r w:rsidRPr="008F55E5">
              <w:rPr>
                <w:rFonts w:cs="Arial"/>
                <w:b/>
                <w:bCs/>
                <w:szCs w:val="24"/>
                <w:lang w:eastAsia="en-GB"/>
              </w:rPr>
              <w:t>5.8%</w:t>
            </w:r>
          </w:p>
        </w:tc>
      </w:tr>
      <w:tr w:rsidR="00593B5B" w:rsidRPr="00EB1D63" w14:paraId="1D9CE323" w14:textId="77777777" w:rsidTr="008F55E5">
        <w:trPr>
          <w:trHeight w:val="300"/>
        </w:trPr>
        <w:tc>
          <w:tcPr>
            <w:tcW w:w="7680"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4FDA1807" w14:textId="77777777" w:rsidR="00593B5B" w:rsidRPr="00EB1D63" w:rsidRDefault="00593B5B" w:rsidP="008F55E5">
            <w:pPr>
              <w:spacing w:line="240" w:lineRule="auto"/>
              <w:rPr>
                <w:rFonts w:cs="Arial"/>
                <w:color w:val="000000"/>
                <w:szCs w:val="24"/>
                <w:lang w:eastAsia="en-GB"/>
              </w:rPr>
            </w:pPr>
            <w:r w:rsidRPr="008F55E5">
              <w:rPr>
                <w:rFonts w:cs="Arial"/>
                <w:color w:val="000000" w:themeColor="text1"/>
                <w:szCs w:val="24"/>
                <w:lang w:eastAsia="en-GB"/>
              </w:rPr>
              <w:t>4. Median ethnicity pay gap - Bonus pay in the 12 months ending 31 March</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7CD8A0C7" w14:textId="77777777" w:rsidR="00593B5B" w:rsidRPr="00EB1D63" w:rsidRDefault="00593B5B" w:rsidP="008F55E5">
            <w:pPr>
              <w:spacing w:line="240" w:lineRule="auto"/>
              <w:jc w:val="right"/>
              <w:rPr>
                <w:rFonts w:cs="Arial"/>
                <w:b/>
                <w:bCs/>
                <w:szCs w:val="24"/>
                <w:lang w:eastAsia="en-GB"/>
              </w:rPr>
            </w:pPr>
            <w:r w:rsidRPr="008F55E5">
              <w:rPr>
                <w:rFonts w:cs="Arial"/>
                <w:b/>
                <w:bCs/>
                <w:szCs w:val="24"/>
                <w:lang w:eastAsia="en-GB"/>
              </w:rPr>
              <w:t>0.0%</w:t>
            </w:r>
          </w:p>
        </w:tc>
      </w:tr>
      <w:tr w:rsidR="00593B5B" w:rsidRPr="00EB1D63" w14:paraId="22338B25" w14:textId="77777777" w:rsidTr="008F55E5">
        <w:trPr>
          <w:trHeight w:val="300"/>
        </w:trPr>
        <w:tc>
          <w:tcPr>
            <w:tcW w:w="5665" w:type="dxa"/>
            <w:gridSpan w:val="2"/>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26C27E79" w14:textId="0ABCE25B" w:rsidR="00593B5B" w:rsidRPr="00EB1D63" w:rsidRDefault="00593B5B" w:rsidP="008F55E5">
            <w:pPr>
              <w:spacing w:line="240" w:lineRule="auto"/>
              <w:rPr>
                <w:rFonts w:cs="Arial"/>
                <w:color w:val="000000"/>
                <w:szCs w:val="24"/>
                <w:lang w:eastAsia="en-GB"/>
              </w:rPr>
            </w:pPr>
            <w:r w:rsidRPr="008F55E5">
              <w:rPr>
                <w:rFonts w:cs="Arial"/>
                <w:color w:val="000000" w:themeColor="text1"/>
                <w:szCs w:val="24"/>
                <w:lang w:eastAsia="en-GB"/>
              </w:rPr>
              <w:t>5. The proportion of employees paid a bonus in the 12 months ending 31 March</w:t>
            </w:r>
          </w:p>
        </w:tc>
        <w:tc>
          <w:tcPr>
            <w:tcW w:w="2015" w:type="dxa"/>
            <w:tcBorders>
              <w:top w:val="nil"/>
              <w:left w:val="nil"/>
              <w:bottom w:val="single" w:sz="4" w:space="0" w:color="auto"/>
              <w:right w:val="single" w:sz="4" w:space="0" w:color="auto"/>
            </w:tcBorders>
            <w:shd w:val="clear" w:color="auto" w:fill="FFFFFF" w:themeFill="background1"/>
            <w:noWrap/>
            <w:vAlign w:val="bottom"/>
            <w:hideMark/>
          </w:tcPr>
          <w:p w14:paraId="0E7AA9BF" w14:textId="4A08350D" w:rsidR="00593B5B" w:rsidRPr="00EB1D63" w:rsidRDefault="00593B5B" w:rsidP="008F55E5">
            <w:pPr>
              <w:spacing w:line="240" w:lineRule="auto"/>
              <w:rPr>
                <w:rFonts w:cs="Arial"/>
                <w:color w:val="000000"/>
                <w:szCs w:val="24"/>
                <w:lang w:eastAsia="en-GB"/>
              </w:rPr>
            </w:pPr>
            <w:r w:rsidRPr="008F55E5">
              <w:rPr>
                <w:rFonts w:cs="Arial"/>
                <w:color w:val="000000" w:themeColor="text1"/>
                <w:szCs w:val="24"/>
                <w:lang w:eastAsia="en-GB"/>
              </w:rPr>
              <w:t>White British / European background</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12CECA4C" w14:textId="77777777" w:rsidR="00593B5B" w:rsidRPr="00EB1D63" w:rsidRDefault="00593B5B" w:rsidP="008F55E5">
            <w:pPr>
              <w:spacing w:line="240" w:lineRule="auto"/>
              <w:jc w:val="right"/>
              <w:rPr>
                <w:rFonts w:cs="Arial"/>
                <w:b/>
                <w:bCs/>
                <w:szCs w:val="24"/>
                <w:lang w:eastAsia="en-GB"/>
              </w:rPr>
            </w:pPr>
            <w:r w:rsidRPr="008F55E5">
              <w:rPr>
                <w:rFonts w:cs="Arial"/>
                <w:b/>
                <w:bCs/>
                <w:szCs w:val="24"/>
                <w:lang w:eastAsia="en-GB"/>
              </w:rPr>
              <w:t>83.6%</w:t>
            </w:r>
          </w:p>
        </w:tc>
      </w:tr>
      <w:tr w:rsidR="00593B5B" w:rsidRPr="00EB1D63" w14:paraId="3D3CC396" w14:textId="77777777" w:rsidTr="008F55E5">
        <w:trPr>
          <w:trHeight w:val="300"/>
        </w:trPr>
        <w:tc>
          <w:tcPr>
            <w:tcW w:w="5665" w:type="dxa"/>
            <w:gridSpan w:val="2"/>
            <w:vMerge/>
            <w:vAlign w:val="center"/>
            <w:hideMark/>
          </w:tcPr>
          <w:p w14:paraId="2E6DD37F" w14:textId="77777777" w:rsidR="00593B5B" w:rsidRPr="00EB1D63" w:rsidRDefault="00593B5B" w:rsidP="00593B5B">
            <w:pPr>
              <w:spacing w:line="240" w:lineRule="auto"/>
              <w:rPr>
                <w:rFonts w:cs="Arial"/>
                <w:color w:val="000000"/>
                <w:sz w:val="22"/>
                <w:szCs w:val="22"/>
                <w:lang w:eastAsia="en-GB"/>
              </w:rPr>
            </w:pPr>
          </w:p>
        </w:tc>
        <w:tc>
          <w:tcPr>
            <w:tcW w:w="2015" w:type="dxa"/>
            <w:tcBorders>
              <w:top w:val="nil"/>
              <w:left w:val="nil"/>
              <w:bottom w:val="single" w:sz="4" w:space="0" w:color="auto"/>
              <w:right w:val="single" w:sz="4" w:space="0" w:color="auto"/>
            </w:tcBorders>
            <w:shd w:val="clear" w:color="auto" w:fill="FFFFFF" w:themeFill="background1"/>
            <w:noWrap/>
            <w:vAlign w:val="bottom"/>
            <w:hideMark/>
          </w:tcPr>
          <w:p w14:paraId="46578CCC" w14:textId="718A9078" w:rsidR="00593B5B" w:rsidRPr="00EB1D63" w:rsidRDefault="00593B5B" w:rsidP="008F55E5">
            <w:pPr>
              <w:spacing w:line="240" w:lineRule="auto"/>
              <w:rPr>
                <w:rFonts w:cs="Arial"/>
                <w:color w:val="000000"/>
                <w:szCs w:val="24"/>
                <w:lang w:eastAsia="en-GB"/>
              </w:rPr>
            </w:pPr>
            <w:r w:rsidRPr="008F55E5">
              <w:rPr>
                <w:rFonts w:cs="Arial"/>
                <w:color w:val="000000" w:themeColor="text1"/>
                <w:szCs w:val="24"/>
                <w:lang w:eastAsia="en-GB"/>
              </w:rPr>
              <w:t>Black, Asian &amp; Ethnically Diverse</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27C149E6" w14:textId="77777777" w:rsidR="00593B5B" w:rsidRPr="00EB1D63" w:rsidRDefault="00593B5B" w:rsidP="008F55E5">
            <w:pPr>
              <w:spacing w:line="240" w:lineRule="auto"/>
              <w:jc w:val="right"/>
              <w:rPr>
                <w:rFonts w:cs="Arial"/>
                <w:b/>
                <w:bCs/>
                <w:szCs w:val="24"/>
                <w:lang w:eastAsia="en-GB"/>
              </w:rPr>
            </w:pPr>
            <w:r w:rsidRPr="008F55E5">
              <w:rPr>
                <w:rFonts w:cs="Arial"/>
                <w:b/>
                <w:bCs/>
                <w:szCs w:val="24"/>
                <w:lang w:eastAsia="en-GB"/>
              </w:rPr>
              <w:t>77.0%</w:t>
            </w:r>
          </w:p>
        </w:tc>
      </w:tr>
      <w:tr w:rsidR="00593B5B" w:rsidRPr="00EB1D63" w14:paraId="2432A09F" w14:textId="77777777" w:rsidTr="008F55E5">
        <w:trPr>
          <w:trHeight w:val="300"/>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832D3" w14:textId="561AD328" w:rsidR="00593B5B" w:rsidRPr="00EB1D63" w:rsidRDefault="00593B5B" w:rsidP="008F55E5">
            <w:pPr>
              <w:spacing w:line="240" w:lineRule="auto"/>
              <w:rPr>
                <w:rFonts w:cs="Arial"/>
                <w:szCs w:val="24"/>
                <w:lang w:eastAsia="en-GB"/>
              </w:rPr>
            </w:pPr>
            <w:r w:rsidRPr="008F55E5">
              <w:rPr>
                <w:rFonts w:cs="Arial"/>
                <w:szCs w:val="24"/>
                <w:lang w:eastAsia="en-GB"/>
              </w:rPr>
              <w:t>6. Proportion of employees in each quartile:</w:t>
            </w:r>
          </w:p>
        </w:tc>
      </w:tr>
      <w:tr w:rsidR="00593B5B" w:rsidRPr="00EB1D63" w14:paraId="4616A157" w14:textId="77777777" w:rsidTr="008F55E5">
        <w:trPr>
          <w:trHeight w:val="300"/>
        </w:trPr>
        <w:tc>
          <w:tcPr>
            <w:tcW w:w="3823" w:type="dxa"/>
            <w:tcBorders>
              <w:top w:val="single" w:sz="4" w:space="0" w:color="auto"/>
              <w:left w:val="single" w:sz="4" w:space="0" w:color="auto"/>
              <w:bottom w:val="single" w:sz="4" w:space="0" w:color="auto"/>
              <w:right w:val="single" w:sz="4" w:space="0" w:color="000000" w:themeColor="text1"/>
            </w:tcBorders>
            <w:shd w:val="clear" w:color="auto" w:fill="A6A6A6" w:themeFill="background1" w:themeFillShade="A6"/>
            <w:noWrap/>
            <w:vAlign w:val="center"/>
            <w:hideMark/>
          </w:tcPr>
          <w:p w14:paraId="4548B0AE" w14:textId="77777777" w:rsidR="00593B5B" w:rsidRPr="00EB1D63" w:rsidRDefault="00593B5B" w:rsidP="008F55E5">
            <w:pPr>
              <w:spacing w:line="240" w:lineRule="auto"/>
              <w:jc w:val="center"/>
              <w:rPr>
                <w:rFonts w:cs="Arial"/>
                <w:b/>
                <w:bCs/>
                <w:color w:val="FFFFFF"/>
                <w:szCs w:val="24"/>
                <w:lang w:eastAsia="en-GB"/>
              </w:rPr>
            </w:pPr>
            <w:r w:rsidRPr="008F55E5">
              <w:rPr>
                <w:rFonts w:cs="Arial"/>
                <w:b/>
                <w:bCs/>
                <w:color w:val="FFFFFF" w:themeColor="background1"/>
                <w:szCs w:val="24"/>
                <w:lang w:eastAsia="en-GB"/>
              </w:rPr>
              <w:t>Quartile</w:t>
            </w:r>
          </w:p>
        </w:tc>
        <w:tc>
          <w:tcPr>
            <w:tcW w:w="1842" w:type="dxa"/>
            <w:tcBorders>
              <w:top w:val="single" w:sz="4" w:space="0" w:color="auto"/>
              <w:left w:val="nil"/>
              <w:bottom w:val="single" w:sz="4" w:space="0" w:color="auto"/>
              <w:right w:val="single" w:sz="4" w:space="0" w:color="000000" w:themeColor="text1"/>
            </w:tcBorders>
            <w:shd w:val="clear" w:color="auto" w:fill="A6A6A6" w:themeFill="background1" w:themeFillShade="A6"/>
            <w:noWrap/>
            <w:vAlign w:val="center"/>
            <w:hideMark/>
          </w:tcPr>
          <w:p w14:paraId="10AED08A" w14:textId="194A3E93" w:rsidR="00593B5B" w:rsidRPr="00EB1D63" w:rsidRDefault="00593B5B" w:rsidP="008F55E5">
            <w:pPr>
              <w:spacing w:line="240" w:lineRule="auto"/>
              <w:jc w:val="center"/>
              <w:rPr>
                <w:rFonts w:cs="Arial"/>
                <w:b/>
                <w:bCs/>
                <w:color w:val="FFFFFF"/>
                <w:szCs w:val="24"/>
                <w:lang w:eastAsia="en-GB"/>
              </w:rPr>
            </w:pPr>
            <w:r w:rsidRPr="008F55E5">
              <w:rPr>
                <w:rFonts w:cs="Arial"/>
                <w:b/>
                <w:bCs/>
                <w:color w:val="FFFFFF" w:themeColor="background1"/>
                <w:szCs w:val="24"/>
                <w:lang w:eastAsia="en-GB"/>
              </w:rPr>
              <w:t>Black, Asian &amp; Ethnically Diverse</w:t>
            </w:r>
          </w:p>
        </w:tc>
        <w:tc>
          <w:tcPr>
            <w:tcW w:w="2975" w:type="dxa"/>
            <w:gridSpan w:val="2"/>
            <w:tcBorders>
              <w:top w:val="single" w:sz="4" w:space="0" w:color="auto"/>
              <w:left w:val="nil"/>
              <w:bottom w:val="single" w:sz="4" w:space="0" w:color="auto"/>
              <w:right w:val="single" w:sz="4" w:space="0" w:color="000000" w:themeColor="text1"/>
            </w:tcBorders>
            <w:shd w:val="clear" w:color="auto" w:fill="A6A6A6" w:themeFill="background1" w:themeFillShade="A6"/>
            <w:noWrap/>
            <w:vAlign w:val="center"/>
            <w:hideMark/>
          </w:tcPr>
          <w:p w14:paraId="1D8302FF" w14:textId="0AF1ACDA" w:rsidR="00593B5B" w:rsidRPr="00EB1D63" w:rsidRDefault="00593B5B" w:rsidP="008F55E5">
            <w:pPr>
              <w:spacing w:line="240" w:lineRule="auto"/>
              <w:jc w:val="center"/>
              <w:rPr>
                <w:rFonts w:cs="Arial"/>
                <w:b/>
                <w:bCs/>
                <w:color w:val="FFFFFF"/>
                <w:szCs w:val="24"/>
                <w:lang w:eastAsia="en-GB"/>
              </w:rPr>
            </w:pPr>
            <w:r w:rsidRPr="008F55E5">
              <w:rPr>
                <w:rFonts w:cs="Arial"/>
                <w:b/>
                <w:bCs/>
                <w:color w:val="FFFFFF" w:themeColor="background1"/>
                <w:szCs w:val="24"/>
                <w:lang w:eastAsia="en-GB"/>
              </w:rPr>
              <w:t>White, British &amp; European background</w:t>
            </w:r>
          </w:p>
        </w:tc>
      </w:tr>
      <w:tr w:rsidR="00593B5B" w:rsidRPr="00EB1D63" w14:paraId="49B8D4B8" w14:textId="77777777" w:rsidTr="008F55E5">
        <w:trPr>
          <w:trHeight w:val="300"/>
        </w:trPr>
        <w:tc>
          <w:tcPr>
            <w:tcW w:w="3823"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6D3862FD" w14:textId="77777777" w:rsidR="00593B5B" w:rsidRPr="00EB1D63" w:rsidRDefault="00593B5B" w:rsidP="008F55E5">
            <w:pPr>
              <w:spacing w:line="240" w:lineRule="auto"/>
              <w:rPr>
                <w:rFonts w:cs="Arial"/>
                <w:color w:val="000000"/>
                <w:szCs w:val="24"/>
                <w:lang w:eastAsia="en-GB"/>
              </w:rPr>
            </w:pPr>
            <w:r w:rsidRPr="008F55E5">
              <w:rPr>
                <w:rFonts w:cs="Arial"/>
                <w:color w:val="000000" w:themeColor="text1"/>
                <w:szCs w:val="24"/>
                <w:lang w:eastAsia="en-GB"/>
              </w:rPr>
              <w:t>First (lower) quartile</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3A82B1" w14:textId="77777777" w:rsidR="00593B5B" w:rsidRPr="00EB1D63" w:rsidRDefault="00593B5B" w:rsidP="008F55E5">
            <w:pPr>
              <w:spacing w:line="240" w:lineRule="auto"/>
              <w:jc w:val="center"/>
              <w:rPr>
                <w:rFonts w:cs="Arial"/>
                <w:b/>
                <w:bCs/>
                <w:color w:val="000000"/>
                <w:szCs w:val="24"/>
                <w:lang w:eastAsia="en-GB"/>
              </w:rPr>
            </w:pPr>
            <w:r w:rsidRPr="008F55E5">
              <w:rPr>
                <w:rFonts w:cs="Arial"/>
                <w:b/>
                <w:bCs/>
                <w:color w:val="000000" w:themeColor="text1"/>
                <w:szCs w:val="24"/>
                <w:lang w:eastAsia="en-GB"/>
              </w:rPr>
              <w:t>12.6%</w:t>
            </w:r>
          </w:p>
        </w:tc>
        <w:tc>
          <w:tcPr>
            <w:tcW w:w="2975"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AB480AB" w14:textId="77777777" w:rsidR="00593B5B" w:rsidRPr="00EB1D63" w:rsidRDefault="00593B5B" w:rsidP="008F55E5">
            <w:pPr>
              <w:spacing w:line="240" w:lineRule="auto"/>
              <w:jc w:val="center"/>
              <w:rPr>
                <w:rFonts w:cs="Arial"/>
                <w:b/>
                <w:bCs/>
                <w:color w:val="000000"/>
                <w:szCs w:val="24"/>
                <w:lang w:eastAsia="en-GB"/>
              </w:rPr>
            </w:pPr>
            <w:r w:rsidRPr="008F55E5">
              <w:rPr>
                <w:rFonts w:cs="Arial"/>
                <w:b/>
                <w:bCs/>
                <w:color w:val="000000" w:themeColor="text1"/>
                <w:szCs w:val="24"/>
                <w:lang w:eastAsia="en-GB"/>
              </w:rPr>
              <w:t>87.4%</w:t>
            </w:r>
          </w:p>
        </w:tc>
      </w:tr>
      <w:tr w:rsidR="00593B5B" w:rsidRPr="00EB1D63" w14:paraId="28683C38" w14:textId="77777777" w:rsidTr="008F55E5">
        <w:trPr>
          <w:trHeight w:val="300"/>
        </w:trPr>
        <w:tc>
          <w:tcPr>
            <w:tcW w:w="3823"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52C58450" w14:textId="77777777" w:rsidR="00593B5B" w:rsidRPr="00EB1D63" w:rsidRDefault="00593B5B" w:rsidP="008F55E5">
            <w:pPr>
              <w:spacing w:line="240" w:lineRule="auto"/>
              <w:rPr>
                <w:rFonts w:cs="Arial"/>
                <w:color w:val="000000"/>
                <w:szCs w:val="24"/>
                <w:lang w:eastAsia="en-GB"/>
              </w:rPr>
            </w:pPr>
            <w:r w:rsidRPr="008F55E5">
              <w:rPr>
                <w:rFonts w:cs="Arial"/>
                <w:color w:val="000000" w:themeColor="text1"/>
                <w:szCs w:val="24"/>
                <w:lang w:eastAsia="en-GB"/>
              </w:rPr>
              <w:t>Second quartile</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71D95C" w14:textId="77777777" w:rsidR="00593B5B" w:rsidRPr="00EB1D63" w:rsidRDefault="00593B5B" w:rsidP="008F55E5">
            <w:pPr>
              <w:spacing w:line="240" w:lineRule="auto"/>
              <w:jc w:val="center"/>
              <w:rPr>
                <w:rFonts w:cs="Arial"/>
                <w:b/>
                <w:bCs/>
                <w:color w:val="000000"/>
                <w:szCs w:val="24"/>
                <w:lang w:eastAsia="en-GB"/>
              </w:rPr>
            </w:pPr>
            <w:r w:rsidRPr="008F55E5">
              <w:rPr>
                <w:rFonts w:cs="Arial"/>
                <w:b/>
                <w:bCs/>
                <w:color w:val="000000" w:themeColor="text1"/>
                <w:szCs w:val="24"/>
                <w:lang w:eastAsia="en-GB"/>
              </w:rPr>
              <w:t>9.3%</w:t>
            </w:r>
          </w:p>
        </w:tc>
        <w:tc>
          <w:tcPr>
            <w:tcW w:w="2975"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0AC98A1" w14:textId="77777777" w:rsidR="00593B5B" w:rsidRPr="00EB1D63" w:rsidRDefault="00593B5B" w:rsidP="008F55E5">
            <w:pPr>
              <w:spacing w:line="240" w:lineRule="auto"/>
              <w:jc w:val="center"/>
              <w:rPr>
                <w:rFonts w:cs="Arial"/>
                <w:b/>
                <w:bCs/>
                <w:color w:val="000000"/>
                <w:szCs w:val="24"/>
                <w:lang w:eastAsia="en-GB"/>
              </w:rPr>
            </w:pPr>
            <w:r w:rsidRPr="008F55E5">
              <w:rPr>
                <w:rFonts w:cs="Arial"/>
                <w:b/>
                <w:bCs/>
                <w:color w:val="000000" w:themeColor="text1"/>
                <w:szCs w:val="24"/>
                <w:lang w:eastAsia="en-GB"/>
              </w:rPr>
              <w:t>90.7%</w:t>
            </w:r>
          </w:p>
        </w:tc>
      </w:tr>
      <w:tr w:rsidR="00593B5B" w:rsidRPr="00EB1D63" w14:paraId="4C608E30" w14:textId="77777777" w:rsidTr="008F55E5">
        <w:trPr>
          <w:trHeight w:val="300"/>
        </w:trPr>
        <w:tc>
          <w:tcPr>
            <w:tcW w:w="3823"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41DB0131" w14:textId="77777777" w:rsidR="00593B5B" w:rsidRPr="00EB1D63" w:rsidRDefault="00593B5B" w:rsidP="008F55E5">
            <w:pPr>
              <w:spacing w:line="240" w:lineRule="auto"/>
              <w:rPr>
                <w:rFonts w:cs="Arial"/>
                <w:color w:val="000000"/>
                <w:szCs w:val="24"/>
                <w:lang w:eastAsia="en-GB"/>
              </w:rPr>
            </w:pPr>
            <w:r w:rsidRPr="008F55E5">
              <w:rPr>
                <w:rFonts w:cs="Arial"/>
                <w:color w:val="000000" w:themeColor="text1"/>
                <w:szCs w:val="24"/>
                <w:lang w:eastAsia="en-GB"/>
              </w:rPr>
              <w:t>Third quartile</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C98E45" w14:textId="77777777" w:rsidR="00593B5B" w:rsidRPr="00EB1D63" w:rsidRDefault="00593B5B" w:rsidP="008F55E5">
            <w:pPr>
              <w:spacing w:line="240" w:lineRule="auto"/>
              <w:jc w:val="center"/>
              <w:rPr>
                <w:rFonts w:cs="Arial"/>
                <w:b/>
                <w:bCs/>
                <w:color w:val="000000"/>
                <w:szCs w:val="24"/>
                <w:lang w:eastAsia="en-GB"/>
              </w:rPr>
            </w:pPr>
            <w:r w:rsidRPr="008F55E5">
              <w:rPr>
                <w:rFonts w:cs="Arial"/>
                <w:b/>
                <w:bCs/>
                <w:color w:val="000000" w:themeColor="text1"/>
                <w:szCs w:val="24"/>
                <w:lang w:eastAsia="en-GB"/>
              </w:rPr>
              <w:t>10.6%</w:t>
            </w:r>
          </w:p>
        </w:tc>
        <w:tc>
          <w:tcPr>
            <w:tcW w:w="2975"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4639BE6" w14:textId="77777777" w:rsidR="00593B5B" w:rsidRPr="00EB1D63" w:rsidRDefault="00593B5B" w:rsidP="008F55E5">
            <w:pPr>
              <w:spacing w:line="240" w:lineRule="auto"/>
              <w:jc w:val="center"/>
              <w:rPr>
                <w:rFonts w:cs="Arial"/>
                <w:b/>
                <w:bCs/>
                <w:color w:val="000000"/>
                <w:szCs w:val="24"/>
                <w:lang w:eastAsia="en-GB"/>
              </w:rPr>
            </w:pPr>
            <w:r w:rsidRPr="008F55E5">
              <w:rPr>
                <w:rFonts w:cs="Arial"/>
                <w:b/>
                <w:bCs/>
                <w:color w:val="000000" w:themeColor="text1"/>
                <w:szCs w:val="24"/>
                <w:lang w:eastAsia="en-GB"/>
              </w:rPr>
              <w:t>89.4%</w:t>
            </w:r>
          </w:p>
        </w:tc>
      </w:tr>
      <w:tr w:rsidR="00593B5B" w:rsidRPr="00EB1D63" w14:paraId="4833757D" w14:textId="77777777" w:rsidTr="008F55E5">
        <w:trPr>
          <w:trHeight w:val="300"/>
        </w:trPr>
        <w:tc>
          <w:tcPr>
            <w:tcW w:w="3823"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2F3B93CA" w14:textId="77777777" w:rsidR="00593B5B" w:rsidRPr="00EB1D63" w:rsidRDefault="00593B5B" w:rsidP="008F55E5">
            <w:pPr>
              <w:spacing w:line="240" w:lineRule="auto"/>
              <w:rPr>
                <w:rFonts w:cs="Arial"/>
                <w:color w:val="000000"/>
                <w:szCs w:val="24"/>
                <w:lang w:eastAsia="en-GB"/>
              </w:rPr>
            </w:pPr>
            <w:r w:rsidRPr="008F55E5">
              <w:rPr>
                <w:rFonts w:cs="Arial"/>
                <w:color w:val="000000" w:themeColor="text1"/>
                <w:szCs w:val="24"/>
                <w:lang w:eastAsia="en-GB"/>
              </w:rPr>
              <w:t>Fourth (upper) quartile</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A189BF" w14:textId="77777777" w:rsidR="00593B5B" w:rsidRPr="00EB1D63" w:rsidRDefault="00593B5B" w:rsidP="008F55E5">
            <w:pPr>
              <w:spacing w:line="240" w:lineRule="auto"/>
              <w:jc w:val="center"/>
              <w:rPr>
                <w:rFonts w:cs="Arial"/>
                <w:b/>
                <w:bCs/>
                <w:color w:val="000000"/>
                <w:szCs w:val="24"/>
                <w:lang w:eastAsia="en-GB"/>
              </w:rPr>
            </w:pPr>
            <w:r w:rsidRPr="008F55E5">
              <w:rPr>
                <w:rFonts w:cs="Arial"/>
                <w:b/>
                <w:bCs/>
                <w:color w:val="000000" w:themeColor="text1"/>
                <w:szCs w:val="24"/>
                <w:lang w:eastAsia="en-GB"/>
              </w:rPr>
              <w:t>17.8%</w:t>
            </w:r>
          </w:p>
        </w:tc>
        <w:tc>
          <w:tcPr>
            <w:tcW w:w="2975"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F2E244E" w14:textId="77777777" w:rsidR="00593B5B" w:rsidRPr="00EB1D63" w:rsidRDefault="00593B5B" w:rsidP="008F55E5">
            <w:pPr>
              <w:spacing w:line="240" w:lineRule="auto"/>
              <w:jc w:val="center"/>
              <w:rPr>
                <w:rFonts w:cs="Arial"/>
                <w:b/>
                <w:bCs/>
                <w:color w:val="000000"/>
                <w:szCs w:val="24"/>
                <w:lang w:eastAsia="en-GB"/>
              </w:rPr>
            </w:pPr>
            <w:r w:rsidRPr="008F55E5">
              <w:rPr>
                <w:rFonts w:cs="Arial"/>
                <w:b/>
                <w:bCs/>
                <w:color w:val="000000" w:themeColor="text1"/>
                <w:szCs w:val="24"/>
                <w:lang w:eastAsia="en-GB"/>
              </w:rPr>
              <w:t>82.2%</w:t>
            </w:r>
          </w:p>
        </w:tc>
      </w:tr>
    </w:tbl>
    <w:p w14:paraId="4E404AD4" w14:textId="63ABA6E4" w:rsidR="00DD11D6" w:rsidRPr="00EB1D63" w:rsidRDefault="00DD11D6" w:rsidP="008F55E5">
      <w:pPr>
        <w:spacing w:line="240" w:lineRule="auto"/>
        <w:rPr>
          <w:rFonts w:cs="Arial"/>
          <w:szCs w:val="24"/>
        </w:rPr>
      </w:pPr>
    </w:p>
    <w:p w14:paraId="10C46DF7" w14:textId="1466780C" w:rsidR="00593B5B" w:rsidRPr="00EB1D63" w:rsidRDefault="00593B5B" w:rsidP="008F55E5">
      <w:pPr>
        <w:spacing w:line="240" w:lineRule="auto"/>
        <w:rPr>
          <w:rFonts w:cs="Arial"/>
          <w:b/>
          <w:bCs/>
          <w:szCs w:val="24"/>
        </w:rPr>
      </w:pPr>
      <w:r w:rsidRPr="008F55E5">
        <w:rPr>
          <w:rFonts w:cs="Arial"/>
          <w:b/>
          <w:bCs/>
          <w:szCs w:val="24"/>
        </w:rPr>
        <w:t>Changes from the March 2022 return</w:t>
      </w:r>
    </w:p>
    <w:p w14:paraId="7582563D" w14:textId="77777777" w:rsidR="006377C3" w:rsidRPr="00EB1D63" w:rsidRDefault="006377C3" w:rsidP="008F55E5">
      <w:pPr>
        <w:spacing w:line="240" w:lineRule="auto"/>
        <w:rPr>
          <w:rFonts w:cs="Arial"/>
          <w:b/>
          <w:bCs/>
          <w:szCs w:val="24"/>
        </w:rPr>
      </w:pPr>
    </w:p>
    <w:tbl>
      <w:tblPr>
        <w:tblW w:w="4673" w:type="dxa"/>
        <w:tblLook w:val="04A0" w:firstRow="1" w:lastRow="0" w:firstColumn="1" w:lastColumn="0" w:noHBand="0" w:noVBand="1"/>
      </w:tblPr>
      <w:tblGrid>
        <w:gridCol w:w="3397"/>
        <w:gridCol w:w="1276"/>
      </w:tblGrid>
      <w:tr w:rsidR="006377C3" w:rsidRPr="00EB1D63" w14:paraId="1EE4AD08" w14:textId="77777777" w:rsidTr="008F55E5">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71B6494" w14:textId="246F01A6" w:rsidR="006377C3" w:rsidRPr="00EB1D63" w:rsidRDefault="006377C3" w:rsidP="008F55E5">
            <w:pPr>
              <w:spacing w:line="240" w:lineRule="auto"/>
              <w:rPr>
                <w:rFonts w:cs="Arial"/>
                <w:b/>
                <w:bCs/>
                <w:color w:val="FFFFFF"/>
                <w:szCs w:val="24"/>
                <w:lang w:eastAsia="en-GB"/>
              </w:rPr>
            </w:pPr>
            <w:r w:rsidRPr="008F55E5">
              <w:rPr>
                <w:rFonts w:cs="Arial"/>
                <w:b/>
                <w:bCs/>
                <w:color w:val="FFFFFF" w:themeColor="background1"/>
                <w:szCs w:val="24"/>
                <w:lang w:eastAsia="en-GB"/>
              </w:rPr>
              <w:t> Overall figures</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10EE3E9C" w14:textId="77777777" w:rsidR="006377C3" w:rsidRPr="00EB1D63" w:rsidRDefault="006377C3" w:rsidP="008F55E5">
            <w:pPr>
              <w:spacing w:line="240" w:lineRule="auto"/>
              <w:jc w:val="center"/>
              <w:rPr>
                <w:rFonts w:cs="Arial"/>
                <w:b/>
                <w:bCs/>
                <w:color w:val="FFFFFF"/>
                <w:szCs w:val="24"/>
                <w:lang w:eastAsia="en-GB"/>
              </w:rPr>
            </w:pPr>
            <w:r w:rsidRPr="008F55E5">
              <w:rPr>
                <w:rFonts w:cs="Arial"/>
                <w:b/>
                <w:bCs/>
                <w:color w:val="FFFFFF" w:themeColor="background1"/>
                <w:szCs w:val="24"/>
                <w:lang w:eastAsia="en-GB"/>
              </w:rPr>
              <w:t>%</w:t>
            </w:r>
          </w:p>
        </w:tc>
      </w:tr>
      <w:tr w:rsidR="006377C3" w:rsidRPr="00EB1D63" w14:paraId="1D82E171" w14:textId="77777777" w:rsidTr="008F55E5">
        <w:trPr>
          <w:trHeight w:val="300"/>
        </w:trPr>
        <w:tc>
          <w:tcPr>
            <w:tcW w:w="33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CED4E3" w14:textId="77777777" w:rsidR="006377C3" w:rsidRPr="00EB1D63" w:rsidRDefault="006377C3" w:rsidP="008F55E5">
            <w:pPr>
              <w:spacing w:line="240" w:lineRule="auto"/>
              <w:rPr>
                <w:rFonts w:cs="Arial"/>
                <w:color w:val="000000"/>
                <w:szCs w:val="24"/>
                <w:lang w:eastAsia="en-GB"/>
              </w:rPr>
            </w:pPr>
            <w:r w:rsidRPr="008F55E5">
              <w:rPr>
                <w:rFonts w:cs="Arial"/>
                <w:color w:val="000000" w:themeColor="text1"/>
                <w:szCs w:val="24"/>
                <w:lang w:eastAsia="en-GB"/>
              </w:rPr>
              <w:t>Mean</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AC9DF29" w14:textId="77777777" w:rsidR="006377C3" w:rsidRPr="00EB1D63" w:rsidRDefault="006377C3" w:rsidP="008F55E5">
            <w:pPr>
              <w:spacing w:line="240" w:lineRule="auto"/>
              <w:jc w:val="right"/>
              <w:rPr>
                <w:rFonts w:cs="Arial"/>
                <w:color w:val="000000"/>
                <w:szCs w:val="24"/>
                <w:lang w:eastAsia="en-GB"/>
              </w:rPr>
            </w:pPr>
            <w:r w:rsidRPr="008F55E5">
              <w:rPr>
                <w:rFonts w:cs="Arial"/>
                <w:color w:val="000000" w:themeColor="text1"/>
                <w:szCs w:val="24"/>
                <w:lang w:eastAsia="en-GB"/>
              </w:rPr>
              <w:t>-3.2%</w:t>
            </w:r>
          </w:p>
        </w:tc>
      </w:tr>
      <w:tr w:rsidR="006377C3" w:rsidRPr="00EB1D63" w14:paraId="73901CE0" w14:textId="77777777" w:rsidTr="008F55E5">
        <w:trPr>
          <w:trHeight w:val="300"/>
        </w:trPr>
        <w:tc>
          <w:tcPr>
            <w:tcW w:w="33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0F72B5" w14:textId="77777777" w:rsidR="006377C3" w:rsidRPr="00EB1D63" w:rsidRDefault="006377C3" w:rsidP="008F55E5">
            <w:pPr>
              <w:spacing w:line="240" w:lineRule="auto"/>
              <w:rPr>
                <w:rFonts w:cs="Arial"/>
                <w:color w:val="000000"/>
                <w:szCs w:val="24"/>
                <w:lang w:eastAsia="en-GB"/>
              </w:rPr>
            </w:pPr>
            <w:r w:rsidRPr="008F55E5">
              <w:rPr>
                <w:rFonts w:cs="Arial"/>
                <w:color w:val="000000" w:themeColor="text1"/>
                <w:szCs w:val="24"/>
                <w:lang w:eastAsia="en-GB"/>
              </w:rPr>
              <w:t>Median</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8B06E9C" w14:textId="609D9366" w:rsidR="006377C3" w:rsidRPr="00EB1D63" w:rsidRDefault="00425F12" w:rsidP="008F55E5">
            <w:pPr>
              <w:spacing w:line="240" w:lineRule="auto"/>
              <w:jc w:val="right"/>
              <w:rPr>
                <w:rFonts w:cs="Arial"/>
                <w:color w:val="000000"/>
                <w:szCs w:val="24"/>
                <w:lang w:eastAsia="en-GB"/>
              </w:rPr>
            </w:pPr>
            <w:r w:rsidRPr="008F55E5">
              <w:rPr>
                <w:rFonts w:cs="Arial"/>
                <w:color w:val="000000" w:themeColor="text1"/>
                <w:szCs w:val="24"/>
                <w:lang w:eastAsia="en-GB"/>
              </w:rPr>
              <w:t>+</w:t>
            </w:r>
            <w:r w:rsidR="006377C3" w:rsidRPr="008F55E5">
              <w:rPr>
                <w:rFonts w:cs="Arial"/>
                <w:color w:val="000000" w:themeColor="text1"/>
                <w:szCs w:val="24"/>
                <w:lang w:eastAsia="en-GB"/>
              </w:rPr>
              <w:t>0.6%</w:t>
            </w:r>
          </w:p>
        </w:tc>
      </w:tr>
      <w:tr w:rsidR="006377C3" w:rsidRPr="00EB1D63" w14:paraId="7DC3711B" w14:textId="77777777" w:rsidTr="008F55E5">
        <w:trPr>
          <w:trHeight w:val="300"/>
        </w:trPr>
        <w:tc>
          <w:tcPr>
            <w:tcW w:w="33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B0C524" w14:textId="77777777" w:rsidR="006377C3" w:rsidRPr="00EB1D63" w:rsidRDefault="006377C3" w:rsidP="008F55E5">
            <w:pPr>
              <w:spacing w:line="240" w:lineRule="auto"/>
              <w:rPr>
                <w:rFonts w:cs="Arial"/>
                <w:color w:val="000000"/>
                <w:szCs w:val="24"/>
                <w:lang w:eastAsia="en-GB"/>
              </w:rPr>
            </w:pPr>
            <w:r w:rsidRPr="008F55E5">
              <w:rPr>
                <w:rFonts w:cs="Arial"/>
                <w:color w:val="000000" w:themeColor="text1"/>
                <w:szCs w:val="24"/>
                <w:lang w:eastAsia="en-GB"/>
              </w:rPr>
              <w:t>Bonus - Mean</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A87FB60" w14:textId="77777777" w:rsidR="006377C3" w:rsidRPr="00EB1D63" w:rsidRDefault="006377C3" w:rsidP="008F55E5">
            <w:pPr>
              <w:spacing w:line="240" w:lineRule="auto"/>
              <w:jc w:val="right"/>
              <w:rPr>
                <w:rFonts w:cs="Arial"/>
                <w:color w:val="000000"/>
                <w:szCs w:val="24"/>
                <w:lang w:eastAsia="en-GB"/>
              </w:rPr>
            </w:pPr>
            <w:r w:rsidRPr="008F55E5">
              <w:rPr>
                <w:rFonts w:cs="Arial"/>
                <w:color w:val="000000" w:themeColor="text1"/>
                <w:szCs w:val="24"/>
                <w:lang w:eastAsia="en-GB"/>
              </w:rPr>
              <w:t>-10.6%</w:t>
            </w:r>
          </w:p>
        </w:tc>
      </w:tr>
      <w:tr w:rsidR="006377C3" w:rsidRPr="00EB1D63" w14:paraId="40769C84" w14:textId="77777777" w:rsidTr="008F55E5">
        <w:trPr>
          <w:trHeight w:val="300"/>
        </w:trPr>
        <w:tc>
          <w:tcPr>
            <w:tcW w:w="33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D713D7" w14:textId="77777777" w:rsidR="006377C3" w:rsidRPr="00EB1D63" w:rsidRDefault="006377C3" w:rsidP="008F55E5">
            <w:pPr>
              <w:spacing w:line="240" w:lineRule="auto"/>
              <w:rPr>
                <w:rFonts w:cs="Arial"/>
                <w:color w:val="000000"/>
                <w:szCs w:val="24"/>
                <w:lang w:eastAsia="en-GB"/>
              </w:rPr>
            </w:pPr>
            <w:r w:rsidRPr="008F55E5">
              <w:rPr>
                <w:rFonts w:cs="Arial"/>
                <w:color w:val="000000" w:themeColor="text1"/>
                <w:szCs w:val="24"/>
                <w:lang w:eastAsia="en-GB"/>
              </w:rPr>
              <w:t>Bonus - Median</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F2102D6" w14:textId="77777777" w:rsidR="006377C3" w:rsidRPr="00EB1D63" w:rsidRDefault="006377C3" w:rsidP="008F55E5">
            <w:pPr>
              <w:spacing w:line="240" w:lineRule="auto"/>
              <w:jc w:val="right"/>
              <w:rPr>
                <w:rFonts w:cs="Arial"/>
                <w:color w:val="000000"/>
                <w:szCs w:val="24"/>
                <w:lang w:eastAsia="en-GB"/>
              </w:rPr>
            </w:pPr>
            <w:r w:rsidRPr="008F55E5">
              <w:rPr>
                <w:rFonts w:cs="Arial"/>
                <w:color w:val="000000" w:themeColor="text1"/>
                <w:szCs w:val="24"/>
                <w:lang w:eastAsia="en-GB"/>
              </w:rPr>
              <w:t>0.0%</w:t>
            </w:r>
          </w:p>
        </w:tc>
      </w:tr>
      <w:tr w:rsidR="006377C3" w:rsidRPr="00EB1D63" w14:paraId="21A3E0DA" w14:textId="77777777" w:rsidTr="008F55E5">
        <w:trPr>
          <w:trHeight w:val="300"/>
        </w:trPr>
        <w:tc>
          <w:tcPr>
            <w:tcW w:w="3397" w:type="dxa"/>
            <w:tcBorders>
              <w:top w:val="nil"/>
              <w:left w:val="nil"/>
              <w:bottom w:val="nil"/>
              <w:right w:val="nil"/>
            </w:tcBorders>
            <w:shd w:val="clear" w:color="auto" w:fill="FFFFFF" w:themeFill="background1"/>
            <w:noWrap/>
            <w:vAlign w:val="bottom"/>
            <w:hideMark/>
          </w:tcPr>
          <w:p w14:paraId="6DDC01EE" w14:textId="77777777" w:rsidR="006377C3" w:rsidRPr="00EB1D63" w:rsidRDefault="006377C3" w:rsidP="008F55E5">
            <w:pPr>
              <w:spacing w:line="240" w:lineRule="auto"/>
              <w:rPr>
                <w:rFonts w:cs="Arial"/>
                <w:color w:val="000000"/>
                <w:szCs w:val="24"/>
                <w:lang w:eastAsia="en-GB"/>
              </w:rPr>
            </w:pPr>
            <w:r w:rsidRPr="008F55E5">
              <w:rPr>
                <w:rFonts w:cs="Arial"/>
                <w:color w:val="000000" w:themeColor="text1"/>
                <w:szCs w:val="24"/>
                <w:lang w:eastAsia="en-GB"/>
              </w:rPr>
              <w:t> </w:t>
            </w:r>
          </w:p>
        </w:tc>
        <w:tc>
          <w:tcPr>
            <w:tcW w:w="1276" w:type="dxa"/>
            <w:tcBorders>
              <w:top w:val="nil"/>
              <w:left w:val="nil"/>
              <w:bottom w:val="nil"/>
              <w:right w:val="nil"/>
            </w:tcBorders>
            <w:shd w:val="clear" w:color="auto" w:fill="FFFFFF" w:themeFill="background1"/>
            <w:noWrap/>
            <w:vAlign w:val="bottom"/>
            <w:hideMark/>
          </w:tcPr>
          <w:p w14:paraId="2C4301AC" w14:textId="77777777" w:rsidR="006377C3" w:rsidRPr="00EB1D63" w:rsidRDefault="006377C3" w:rsidP="008F55E5">
            <w:pPr>
              <w:spacing w:line="240" w:lineRule="auto"/>
              <w:rPr>
                <w:rFonts w:cs="Arial"/>
                <w:color w:val="000000"/>
                <w:szCs w:val="24"/>
                <w:lang w:eastAsia="en-GB"/>
              </w:rPr>
            </w:pPr>
            <w:r w:rsidRPr="008F55E5">
              <w:rPr>
                <w:rFonts w:cs="Arial"/>
                <w:color w:val="000000" w:themeColor="text1"/>
                <w:szCs w:val="24"/>
                <w:lang w:eastAsia="en-GB"/>
              </w:rPr>
              <w:t> </w:t>
            </w:r>
          </w:p>
        </w:tc>
      </w:tr>
      <w:tr w:rsidR="006377C3" w:rsidRPr="00EB1D63" w14:paraId="666BF92B" w14:textId="77777777" w:rsidTr="008F55E5">
        <w:trPr>
          <w:trHeight w:val="300"/>
        </w:trPr>
        <w:tc>
          <w:tcPr>
            <w:tcW w:w="3397" w:type="dxa"/>
            <w:tcBorders>
              <w:top w:val="single" w:sz="4" w:space="0" w:color="auto"/>
              <w:left w:val="single" w:sz="4" w:space="0" w:color="auto"/>
              <w:bottom w:val="single" w:sz="4" w:space="0" w:color="auto"/>
              <w:right w:val="nil"/>
            </w:tcBorders>
            <w:shd w:val="clear" w:color="auto" w:fill="A6A6A6" w:themeFill="background1" w:themeFillShade="A6"/>
            <w:noWrap/>
            <w:vAlign w:val="center"/>
            <w:hideMark/>
          </w:tcPr>
          <w:p w14:paraId="26F5DBF8" w14:textId="77777777" w:rsidR="006377C3" w:rsidRPr="00EB1D63" w:rsidRDefault="006377C3" w:rsidP="008F55E5">
            <w:pPr>
              <w:spacing w:line="240" w:lineRule="auto"/>
              <w:jc w:val="center"/>
              <w:rPr>
                <w:rFonts w:cs="Arial"/>
                <w:b/>
                <w:bCs/>
                <w:color w:val="FFFFFF"/>
                <w:szCs w:val="24"/>
                <w:lang w:eastAsia="en-GB"/>
              </w:rPr>
            </w:pPr>
            <w:r w:rsidRPr="008F55E5">
              <w:rPr>
                <w:rFonts w:cs="Arial"/>
                <w:b/>
                <w:bCs/>
                <w:color w:val="FFFFFF" w:themeColor="background1"/>
                <w:szCs w:val="24"/>
                <w:lang w:eastAsia="en-GB"/>
              </w:rPr>
              <w:t>Quartile</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1048B97" w14:textId="77777777" w:rsidR="006377C3" w:rsidRPr="00EB1D63" w:rsidRDefault="006377C3" w:rsidP="008F55E5">
            <w:pPr>
              <w:spacing w:line="240" w:lineRule="auto"/>
              <w:jc w:val="center"/>
              <w:rPr>
                <w:rFonts w:cs="Arial"/>
                <w:b/>
                <w:bCs/>
                <w:color w:val="FFFFFF"/>
                <w:szCs w:val="24"/>
                <w:lang w:eastAsia="en-GB"/>
              </w:rPr>
            </w:pPr>
            <w:r w:rsidRPr="008F55E5">
              <w:rPr>
                <w:rFonts w:cs="Arial"/>
                <w:b/>
                <w:bCs/>
                <w:color w:val="FFFFFF" w:themeColor="background1"/>
                <w:szCs w:val="24"/>
                <w:lang w:eastAsia="en-GB"/>
              </w:rPr>
              <w:t>%</w:t>
            </w:r>
          </w:p>
        </w:tc>
      </w:tr>
      <w:tr w:rsidR="006377C3" w:rsidRPr="00EB1D63" w14:paraId="3FFBFAA8" w14:textId="77777777" w:rsidTr="008F55E5">
        <w:trPr>
          <w:trHeight w:val="300"/>
        </w:trPr>
        <w:tc>
          <w:tcPr>
            <w:tcW w:w="33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42D43D" w14:textId="3EF29B8F" w:rsidR="006377C3" w:rsidRPr="00EB1D63" w:rsidRDefault="006377C3" w:rsidP="008F55E5">
            <w:pPr>
              <w:spacing w:line="240" w:lineRule="auto"/>
              <w:rPr>
                <w:rFonts w:cs="Arial"/>
                <w:color w:val="000000"/>
                <w:szCs w:val="24"/>
                <w:lang w:eastAsia="en-GB"/>
              </w:rPr>
            </w:pPr>
            <w:r w:rsidRPr="008F55E5">
              <w:rPr>
                <w:rFonts w:cs="Arial"/>
                <w:color w:val="000000" w:themeColor="text1"/>
                <w:szCs w:val="24"/>
                <w:lang w:eastAsia="en-GB"/>
              </w:rPr>
              <w:t xml:space="preserve">First </w:t>
            </w:r>
            <w:r w:rsidR="00425F12" w:rsidRPr="008F55E5">
              <w:rPr>
                <w:rFonts w:cs="Arial"/>
                <w:color w:val="000000" w:themeColor="text1"/>
                <w:szCs w:val="24"/>
                <w:lang w:eastAsia="en-GB"/>
              </w:rPr>
              <w:t xml:space="preserve">(lower) </w:t>
            </w:r>
            <w:r w:rsidRPr="008F55E5">
              <w:rPr>
                <w:rFonts w:cs="Arial"/>
                <w:color w:val="000000" w:themeColor="text1"/>
                <w:szCs w:val="24"/>
                <w:lang w:eastAsia="en-GB"/>
              </w:rPr>
              <w:t>quartile</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9D51E66" w14:textId="77777777" w:rsidR="006377C3" w:rsidRPr="00EB1D63" w:rsidRDefault="006377C3" w:rsidP="008F55E5">
            <w:pPr>
              <w:spacing w:line="240" w:lineRule="auto"/>
              <w:jc w:val="right"/>
              <w:rPr>
                <w:rFonts w:cs="Arial"/>
                <w:color w:val="000000"/>
                <w:szCs w:val="24"/>
                <w:lang w:eastAsia="en-GB"/>
              </w:rPr>
            </w:pPr>
            <w:r w:rsidRPr="008F55E5">
              <w:rPr>
                <w:rFonts w:cs="Arial"/>
                <w:color w:val="000000" w:themeColor="text1"/>
                <w:szCs w:val="24"/>
                <w:lang w:eastAsia="en-GB"/>
              </w:rPr>
              <w:t>1.3%</w:t>
            </w:r>
          </w:p>
        </w:tc>
      </w:tr>
      <w:tr w:rsidR="006377C3" w:rsidRPr="00EB1D63" w14:paraId="1B27C98D" w14:textId="77777777" w:rsidTr="008F55E5">
        <w:trPr>
          <w:trHeight w:val="300"/>
        </w:trPr>
        <w:tc>
          <w:tcPr>
            <w:tcW w:w="33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CBE36F" w14:textId="77777777" w:rsidR="006377C3" w:rsidRPr="00EB1D63" w:rsidRDefault="006377C3" w:rsidP="008F55E5">
            <w:pPr>
              <w:spacing w:line="240" w:lineRule="auto"/>
              <w:rPr>
                <w:rFonts w:cs="Arial"/>
                <w:color w:val="000000"/>
                <w:szCs w:val="24"/>
                <w:lang w:eastAsia="en-GB"/>
              </w:rPr>
            </w:pPr>
            <w:r w:rsidRPr="008F55E5">
              <w:rPr>
                <w:rFonts w:cs="Arial"/>
                <w:color w:val="000000" w:themeColor="text1"/>
                <w:szCs w:val="24"/>
                <w:lang w:eastAsia="en-GB"/>
              </w:rPr>
              <w:t>Second quartile</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8E10272" w14:textId="77777777" w:rsidR="006377C3" w:rsidRPr="00EB1D63" w:rsidRDefault="006377C3" w:rsidP="008F55E5">
            <w:pPr>
              <w:spacing w:line="240" w:lineRule="auto"/>
              <w:jc w:val="right"/>
              <w:rPr>
                <w:rFonts w:cs="Arial"/>
                <w:color w:val="000000"/>
                <w:szCs w:val="24"/>
                <w:lang w:eastAsia="en-GB"/>
              </w:rPr>
            </w:pPr>
            <w:r w:rsidRPr="008F55E5">
              <w:rPr>
                <w:rFonts w:cs="Arial"/>
                <w:color w:val="000000" w:themeColor="text1"/>
                <w:szCs w:val="24"/>
                <w:lang w:eastAsia="en-GB"/>
              </w:rPr>
              <w:t>3.0%</w:t>
            </w:r>
          </w:p>
        </w:tc>
      </w:tr>
      <w:tr w:rsidR="006377C3" w:rsidRPr="00EB1D63" w14:paraId="743C5942" w14:textId="77777777" w:rsidTr="008F55E5">
        <w:trPr>
          <w:trHeight w:val="300"/>
        </w:trPr>
        <w:tc>
          <w:tcPr>
            <w:tcW w:w="33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6BDC8B" w14:textId="77777777" w:rsidR="006377C3" w:rsidRPr="00EB1D63" w:rsidRDefault="006377C3" w:rsidP="008F55E5">
            <w:pPr>
              <w:spacing w:line="240" w:lineRule="auto"/>
              <w:rPr>
                <w:rFonts w:cs="Arial"/>
                <w:color w:val="000000"/>
                <w:szCs w:val="24"/>
                <w:lang w:eastAsia="en-GB"/>
              </w:rPr>
            </w:pPr>
            <w:r w:rsidRPr="008F55E5">
              <w:rPr>
                <w:rFonts w:cs="Arial"/>
                <w:color w:val="000000" w:themeColor="text1"/>
                <w:szCs w:val="24"/>
                <w:lang w:eastAsia="en-GB"/>
              </w:rPr>
              <w:t>Third quartile</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4F8B4C9" w14:textId="77777777" w:rsidR="006377C3" w:rsidRPr="00EB1D63" w:rsidRDefault="006377C3" w:rsidP="008F55E5">
            <w:pPr>
              <w:spacing w:line="240" w:lineRule="auto"/>
              <w:jc w:val="right"/>
              <w:rPr>
                <w:rFonts w:cs="Arial"/>
                <w:color w:val="000000"/>
                <w:szCs w:val="24"/>
                <w:lang w:eastAsia="en-GB"/>
              </w:rPr>
            </w:pPr>
            <w:r w:rsidRPr="008F55E5">
              <w:rPr>
                <w:rFonts w:cs="Arial"/>
                <w:color w:val="000000" w:themeColor="text1"/>
                <w:szCs w:val="24"/>
                <w:lang w:eastAsia="en-GB"/>
              </w:rPr>
              <w:t>-5.6%</w:t>
            </w:r>
          </w:p>
        </w:tc>
      </w:tr>
      <w:tr w:rsidR="006377C3" w:rsidRPr="00EB1D63" w14:paraId="7EF1A1E7" w14:textId="77777777" w:rsidTr="008F55E5">
        <w:trPr>
          <w:trHeight w:val="300"/>
        </w:trPr>
        <w:tc>
          <w:tcPr>
            <w:tcW w:w="339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393BCD" w14:textId="5428546F" w:rsidR="006377C3" w:rsidRPr="00EB1D63" w:rsidRDefault="006377C3" w:rsidP="008F55E5">
            <w:pPr>
              <w:spacing w:line="240" w:lineRule="auto"/>
              <w:rPr>
                <w:rFonts w:cs="Arial"/>
                <w:color w:val="000000"/>
                <w:szCs w:val="24"/>
                <w:lang w:eastAsia="en-GB"/>
              </w:rPr>
            </w:pPr>
            <w:r w:rsidRPr="008F55E5">
              <w:rPr>
                <w:rFonts w:cs="Arial"/>
                <w:color w:val="000000" w:themeColor="text1"/>
                <w:szCs w:val="24"/>
                <w:lang w:eastAsia="en-GB"/>
              </w:rPr>
              <w:t xml:space="preserve">Fourth </w:t>
            </w:r>
            <w:r w:rsidR="00425F12" w:rsidRPr="008F55E5">
              <w:rPr>
                <w:rFonts w:cs="Arial"/>
                <w:color w:val="000000" w:themeColor="text1"/>
                <w:szCs w:val="24"/>
                <w:lang w:eastAsia="en-GB"/>
              </w:rPr>
              <w:t xml:space="preserve">(upper) </w:t>
            </w:r>
            <w:r w:rsidRPr="008F55E5">
              <w:rPr>
                <w:rFonts w:cs="Arial"/>
                <w:color w:val="000000" w:themeColor="text1"/>
                <w:szCs w:val="24"/>
                <w:lang w:eastAsia="en-GB"/>
              </w:rPr>
              <w:t>quartile</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0B80702" w14:textId="77777777" w:rsidR="006377C3" w:rsidRPr="00EB1D63" w:rsidRDefault="006377C3" w:rsidP="008F55E5">
            <w:pPr>
              <w:spacing w:line="240" w:lineRule="auto"/>
              <w:jc w:val="right"/>
              <w:rPr>
                <w:rFonts w:cs="Arial"/>
                <w:color w:val="000000"/>
                <w:szCs w:val="24"/>
                <w:lang w:eastAsia="en-GB"/>
              </w:rPr>
            </w:pPr>
            <w:r w:rsidRPr="008F55E5">
              <w:rPr>
                <w:rFonts w:cs="Arial"/>
                <w:color w:val="000000" w:themeColor="text1"/>
                <w:szCs w:val="24"/>
                <w:lang w:eastAsia="en-GB"/>
              </w:rPr>
              <w:t>-4.6%</w:t>
            </w:r>
          </w:p>
        </w:tc>
      </w:tr>
    </w:tbl>
    <w:p w14:paraId="54DB70B3" w14:textId="77777777" w:rsidR="00EB1D63" w:rsidRDefault="00EB1D63" w:rsidP="008F55E5">
      <w:pPr>
        <w:spacing w:line="240" w:lineRule="auto"/>
        <w:rPr>
          <w:rFonts w:cs="Arial"/>
          <w:szCs w:val="24"/>
        </w:rPr>
      </w:pPr>
    </w:p>
    <w:p w14:paraId="6123892F" w14:textId="129103D8" w:rsidR="006377C3" w:rsidRPr="00EB1D63" w:rsidRDefault="006377C3" w:rsidP="008F55E5">
      <w:pPr>
        <w:spacing w:line="240" w:lineRule="auto"/>
        <w:rPr>
          <w:rFonts w:cs="Arial"/>
          <w:szCs w:val="24"/>
        </w:rPr>
      </w:pPr>
      <w:r w:rsidRPr="008F55E5">
        <w:rPr>
          <w:rFonts w:cs="Arial"/>
          <w:szCs w:val="24"/>
        </w:rPr>
        <w:t>In both tables</w:t>
      </w:r>
      <w:r w:rsidR="05894427" w:rsidRPr="008F55E5">
        <w:rPr>
          <w:rFonts w:cs="Arial"/>
          <w:szCs w:val="24"/>
        </w:rPr>
        <w:t>,</w:t>
      </w:r>
      <w:r w:rsidRPr="008F55E5">
        <w:rPr>
          <w:rFonts w:cs="Arial"/>
          <w:szCs w:val="24"/>
        </w:rPr>
        <w:t xml:space="preserve"> minus figures represent swings in pay from White, British &amp; European to Black, </w:t>
      </w:r>
      <w:r w:rsidR="00EB1D63" w:rsidRPr="008F55E5">
        <w:rPr>
          <w:rFonts w:cs="Arial"/>
          <w:szCs w:val="24"/>
        </w:rPr>
        <w:t>Asian,</w:t>
      </w:r>
      <w:r w:rsidRPr="008F55E5">
        <w:rPr>
          <w:rFonts w:cs="Arial"/>
          <w:szCs w:val="24"/>
        </w:rPr>
        <w:t xml:space="preserve"> and Ethnically Diverse colleagues.</w:t>
      </w:r>
    </w:p>
    <w:p w14:paraId="1670782F" w14:textId="73BF6D53" w:rsidR="00993DE6" w:rsidRPr="00EB1D63" w:rsidRDefault="00993DE6" w:rsidP="008F55E5">
      <w:pPr>
        <w:spacing w:line="240" w:lineRule="auto"/>
        <w:rPr>
          <w:rFonts w:cs="Arial"/>
          <w:szCs w:val="24"/>
        </w:rPr>
      </w:pPr>
    </w:p>
    <w:p w14:paraId="14E6C37D" w14:textId="36980055" w:rsidR="00DD11D6" w:rsidRPr="00EB1D63" w:rsidRDefault="00593B5B" w:rsidP="008F55E5">
      <w:pPr>
        <w:spacing w:line="240" w:lineRule="auto"/>
        <w:jc w:val="both"/>
        <w:rPr>
          <w:rFonts w:cs="Arial"/>
          <w:szCs w:val="24"/>
        </w:rPr>
      </w:pPr>
      <w:r w:rsidRPr="008F55E5">
        <w:rPr>
          <w:rFonts w:cs="Arial"/>
          <w:szCs w:val="24"/>
        </w:rPr>
        <w:t xml:space="preserve">While, unlike with the gender pay gap, there is no </w:t>
      </w:r>
      <w:r w:rsidR="00DD11D6" w:rsidRPr="008F55E5">
        <w:rPr>
          <w:rFonts w:cs="Arial"/>
          <w:szCs w:val="24"/>
        </w:rPr>
        <w:t>statutory</w:t>
      </w:r>
      <w:r w:rsidRPr="008F55E5">
        <w:rPr>
          <w:rFonts w:cs="Arial"/>
          <w:szCs w:val="24"/>
        </w:rPr>
        <w:t xml:space="preserve"> requirement to report an ethnicity pay gap, the Arts Council has been doing this for the last three years as an example of forward-looking good practice around equ</w:t>
      </w:r>
      <w:r w:rsidR="68F8C65B" w:rsidRPr="008F55E5">
        <w:rPr>
          <w:rFonts w:cs="Arial"/>
          <w:szCs w:val="24"/>
        </w:rPr>
        <w:t>ality</w:t>
      </w:r>
      <w:r w:rsidRPr="008F55E5">
        <w:rPr>
          <w:rFonts w:cs="Arial"/>
          <w:szCs w:val="24"/>
        </w:rPr>
        <w:t xml:space="preserve"> and diversity. This does mean however that there is no </w:t>
      </w:r>
      <w:r w:rsidR="00EB1D63" w:rsidRPr="008F55E5">
        <w:rPr>
          <w:rFonts w:cs="Arial"/>
          <w:szCs w:val="24"/>
        </w:rPr>
        <w:t>commonly accepted</w:t>
      </w:r>
      <w:r w:rsidR="00DD11D6" w:rsidRPr="008F55E5">
        <w:rPr>
          <w:rFonts w:cs="Arial"/>
          <w:szCs w:val="24"/>
        </w:rPr>
        <w:t xml:space="preserve"> </w:t>
      </w:r>
      <w:r w:rsidRPr="008F55E5">
        <w:rPr>
          <w:rFonts w:cs="Arial"/>
          <w:szCs w:val="24"/>
        </w:rPr>
        <w:t xml:space="preserve">nationwide </w:t>
      </w:r>
      <w:r w:rsidR="00DD11D6" w:rsidRPr="008F55E5">
        <w:rPr>
          <w:rFonts w:cs="Arial"/>
          <w:szCs w:val="24"/>
        </w:rPr>
        <w:t xml:space="preserve">guidance on how to construct the dataset. Here, we have used the same principles of pay calculation used in the gender pay figures and applied them to two separate staff groups of i) white British or European origin </w:t>
      </w:r>
      <w:r w:rsidR="00EB1D63" w:rsidRPr="008F55E5">
        <w:rPr>
          <w:rFonts w:cs="Arial"/>
          <w:szCs w:val="24"/>
        </w:rPr>
        <w:t>and</w:t>
      </w:r>
      <w:r w:rsidR="00DD11D6" w:rsidRPr="008F55E5">
        <w:rPr>
          <w:rFonts w:cs="Arial"/>
          <w:szCs w:val="24"/>
        </w:rPr>
        <w:t xml:space="preserve"> ii) Black, Asian, or other </w:t>
      </w:r>
      <w:r w:rsidR="7B6FD80A" w:rsidRPr="008F55E5">
        <w:rPr>
          <w:rFonts w:cs="Arial"/>
          <w:szCs w:val="24"/>
        </w:rPr>
        <w:t>E</w:t>
      </w:r>
      <w:r w:rsidR="00DD11D6" w:rsidRPr="008F55E5">
        <w:rPr>
          <w:rFonts w:cs="Arial"/>
          <w:szCs w:val="24"/>
        </w:rPr>
        <w:t xml:space="preserve">thnically </w:t>
      </w:r>
      <w:r w:rsidR="365AE552" w:rsidRPr="008F55E5">
        <w:rPr>
          <w:rFonts w:cs="Arial"/>
          <w:szCs w:val="24"/>
        </w:rPr>
        <w:t>D</w:t>
      </w:r>
      <w:r w:rsidR="00DD11D6" w:rsidRPr="008F55E5">
        <w:rPr>
          <w:rFonts w:cs="Arial"/>
          <w:szCs w:val="24"/>
        </w:rPr>
        <w:t xml:space="preserve">iverse colleagues. </w:t>
      </w:r>
      <w:r w:rsidRPr="008F55E5">
        <w:rPr>
          <w:rFonts w:cs="Arial"/>
          <w:szCs w:val="24"/>
        </w:rPr>
        <w:t xml:space="preserve">We accept that dividing this data into a binary presentation does come with a level of </w:t>
      </w:r>
      <w:r w:rsidR="00EB1D63" w:rsidRPr="008F55E5">
        <w:rPr>
          <w:rFonts w:cs="Arial"/>
          <w:szCs w:val="24"/>
        </w:rPr>
        <w:t>generalisation but</w:t>
      </w:r>
      <w:r w:rsidRPr="008F55E5">
        <w:rPr>
          <w:rFonts w:cs="Arial"/>
          <w:szCs w:val="24"/>
        </w:rPr>
        <w:t xml:space="preserve"> is nonetheless a useful metric to consider</w:t>
      </w:r>
      <w:r w:rsidR="00425F12" w:rsidRPr="008F55E5">
        <w:rPr>
          <w:rFonts w:cs="Arial"/>
          <w:szCs w:val="24"/>
        </w:rPr>
        <w:t xml:space="preserve"> in an organisation of a size in which breaking down pay gaps further into different sub-groups risks a loss of statistical significance.</w:t>
      </w:r>
    </w:p>
    <w:p w14:paraId="73E64582" w14:textId="77777777" w:rsidR="00DD11D6" w:rsidRPr="00EB1D63" w:rsidRDefault="00DD11D6" w:rsidP="008F55E5">
      <w:pPr>
        <w:spacing w:line="240" w:lineRule="auto"/>
        <w:jc w:val="both"/>
        <w:rPr>
          <w:rFonts w:cs="Arial"/>
          <w:szCs w:val="24"/>
        </w:rPr>
      </w:pPr>
    </w:p>
    <w:p w14:paraId="38AADE25" w14:textId="3ED76087" w:rsidR="00DD11D6" w:rsidRPr="00EB1D63" w:rsidRDefault="00DD11D6" w:rsidP="008F55E5">
      <w:pPr>
        <w:spacing w:line="240" w:lineRule="auto"/>
        <w:jc w:val="both"/>
        <w:rPr>
          <w:rFonts w:cs="Arial"/>
          <w:szCs w:val="24"/>
        </w:rPr>
      </w:pPr>
      <w:r w:rsidRPr="008F55E5">
        <w:rPr>
          <w:rFonts w:cs="Arial"/>
          <w:szCs w:val="24"/>
        </w:rPr>
        <w:t>Both the mean and median pay gaps</w:t>
      </w:r>
      <w:r w:rsidR="006377C3" w:rsidRPr="008F55E5">
        <w:rPr>
          <w:rFonts w:cs="Arial"/>
          <w:szCs w:val="24"/>
        </w:rPr>
        <w:t xml:space="preserve"> for 2023</w:t>
      </w:r>
      <w:r w:rsidRPr="008F55E5">
        <w:rPr>
          <w:rFonts w:cs="Arial"/>
          <w:szCs w:val="24"/>
        </w:rPr>
        <w:t xml:space="preserve"> are </w:t>
      </w:r>
      <w:r w:rsidRPr="008F55E5">
        <w:rPr>
          <w:rFonts w:cs="Arial"/>
          <w:szCs w:val="24"/>
          <w:u w:val="single"/>
        </w:rPr>
        <w:t xml:space="preserve">negative </w:t>
      </w:r>
      <w:r w:rsidRPr="008F55E5">
        <w:rPr>
          <w:rFonts w:cs="Arial"/>
          <w:szCs w:val="24"/>
        </w:rPr>
        <w:t xml:space="preserve">– meaning that the average pay for </w:t>
      </w:r>
      <w:r w:rsidR="006377C3" w:rsidRPr="008F55E5">
        <w:rPr>
          <w:rFonts w:cs="Arial"/>
          <w:szCs w:val="24"/>
        </w:rPr>
        <w:t>Black, Asian &amp; Ethnically Diverse staff</w:t>
      </w:r>
      <w:r w:rsidRPr="008F55E5">
        <w:rPr>
          <w:rFonts w:cs="Arial"/>
          <w:szCs w:val="24"/>
        </w:rPr>
        <w:t xml:space="preserve"> exceeds that for group </w:t>
      </w:r>
      <w:r w:rsidR="006377C3" w:rsidRPr="008F55E5">
        <w:rPr>
          <w:rFonts w:cs="Arial"/>
          <w:szCs w:val="24"/>
        </w:rPr>
        <w:t>White British and European staff by 7p and 5p in every pound of salary respectively.</w:t>
      </w:r>
      <w:r w:rsidRPr="008F55E5">
        <w:rPr>
          <w:rFonts w:cs="Arial"/>
          <w:szCs w:val="24"/>
        </w:rPr>
        <w:t xml:space="preserve">  </w:t>
      </w:r>
    </w:p>
    <w:p w14:paraId="70FE4081" w14:textId="77777777" w:rsidR="006377C3" w:rsidRPr="00EB1D63" w:rsidRDefault="006377C3" w:rsidP="008F55E5">
      <w:pPr>
        <w:spacing w:line="240" w:lineRule="auto"/>
        <w:jc w:val="both"/>
        <w:rPr>
          <w:rFonts w:cs="Arial"/>
          <w:szCs w:val="24"/>
        </w:rPr>
      </w:pPr>
    </w:p>
    <w:p w14:paraId="6E77C87D" w14:textId="71EE0DED" w:rsidR="006377C3" w:rsidRPr="00EB1D63" w:rsidRDefault="006377C3" w:rsidP="008F55E5">
      <w:pPr>
        <w:spacing w:line="240" w:lineRule="auto"/>
        <w:jc w:val="both"/>
        <w:rPr>
          <w:rFonts w:cs="Arial"/>
          <w:szCs w:val="24"/>
        </w:rPr>
      </w:pPr>
      <w:r w:rsidRPr="008F55E5">
        <w:rPr>
          <w:rFonts w:cs="Arial"/>
          <w:szCs w:val="24"/>
        </w:rPr>
        <w:t xml:space="preserve">The median figure is largely unchanged from 2022, while the mean has swung further </w:t>
      </w:r>
      <w:r w:rsidR="00B80835" w:rsidRPr="008F55E5">
        <w:rPr>
          <w:rFonts w:cs="Arial"/>
          <w:szCs w:val="24"/>
        </w:rPr>
        <w:t>to</w:t>
      </w:r>
      <w:r w:rsidRPr="008F55E5">
        <w:rPr>
          <w:rFonts w:cs="Arial"/>
          <w:szCs w:val="24"/>
        </w:rPr>
        <w:t xml:space="preserve">wards Black, Asian and Ethnically diverse colleagues. This reflects growth in their proportions in the two highest pay quartiles. </w:t>
      </w:r>
    </w:p>
    <w:p w14:paraId="7256D4E0" w14:textId="77777777" w:rsidR="00DD11D6" w:rsidRPr="00EB1D63" w:rsidRDefault="00DD11D6" w:rsidP="008F55E5">
      <w:pPr>
        <w:spacing w:line="240" w:lineRule="auto"/>
        <w:jc w:val="both"/>
        <w:rPr>
          <w:rFonts w:cs="Arial"/>
          <w:szCs w:val="24"/>
        </w:rPr>
      </w:pPr>
    </w:p>
    <w:p w14:paraId="640587C8" w14:textId="0ABF407D" w:rsidR="00DD11D6" w:rsidRPr="00EB1D63" w:rsidRDefault="006377C3" w:rsidP="008F55E5">
      <w:pPr>
        <w:spacing w:line="240" w:lineRule="auto"/>
        <w:jc w:val="both"/>
        <w:rPr>
          <w:rFonts w:cs="Arial"/>
          <w:szCs w:val="24"/>
        </w:rPr>
      </w:pPr>
      <w:r w:rsidRPr="008F55E5">
        <w:rPr>
          <w:rFonts w:cs="Arial"/>
          <w:szCs w:val="24"/>
        </w:rPr>
        <w:t xml:space="preserve">At 12.6% of organisational headcount, </w:t>
      </w:r>
      <w:r w:rsidR="00DD11D6" w:rsidRPr="008F55E5">
        <w:rPr>
          <w:rFonts w:cs="Arial"/>
          <w:szCs w:val="24"/>
        </w:rPr>
        <w:t xml:space="preserve">Black, </w:t>
      </w:r>
      <w:r w:rsidR="00EB1D63" w:rsidRPr="008F55E5">
        <w:rPr>
          <w:rFonts w:cs="Arial"/>
          <w:szCs w:val="24"/>
        </w:rPr>
        <w:t>Asian,</w:t>
      </w:r>
      <w:r w:rsidR="00DD11D6" w:rsidRPr="008F55E5">
        <w:rPr>
          <w:rFonts w:cs="Arial"/>
          <w:szCs w:val="24"/>
        </w:rPr>
        <w:t xml:space="preserve"> and ethnically diverse staff constitute a proportionally smaller group than </w:t>
      </w:r>
      <w:r w:rsidRPr="008F55E5">
        <w:rPr>
          <w:rFonts w:cs="Arial"/>
          <w:szCs w:val="24"/>
        </w:rPr>
        <w:t>the two groups</w:t>
      </w:r>
      <w:r w:rsidR="00DD11D6" w:rsidRPr="008F55E5">
        <w:rPr>
          <w:rFonts w:cs="Arial"/>
          <w:szCs w:val="24"/>
        </w:rPr>
        <w:t xml:space="preserve"> in the gender pay analysis (i.e. male and female) and so this </w:t>
      </w:r>
      <w:r w:rsidRPr="008F55E5">
        <w:rPr>
          <w:rFonts w:cs="Arial"/>
          <w:szCs w:val="24"/>
        </w:rPr>
        <w:t xml:space="preserve">pay gap </w:t>
      </w:r>
      <w:r w:rsidR="00DD11D6" w:rsidRPr="008F55E5">
        <w:rPr>
          <w:rFonts w:cs="Arial"/>
          <w:szCs w:val="24"/>
        </w:rPr>
        <w:t>figure is likely to be more volatile year to year, as it can be affected by small changes in headcount.</w:t>
      </w:r>
    </w:p>
    <w:p w14:paraId="11D20995" w14:textId="1FFEDA60" w:rsidR="00993DE6" w:rsidRPr="00EB1D63" w:rsidRDefault="00993DE6" w:rsidP="008F55E5">
      <w:pPr>
        <w:spacing w:line="240" w:lineRule="auto"/>
        <w:jc w:val="both"/>
        <w:rPr>
          <w:rFonts w:cs="Arial"/>
          <w:szCs w:val="24"/>
        </w:rPr>
      </w:pPr>
    </w:p>
    <w:p w14:paraId="69681204" w14:textId="744AD725" w:rsidR="00C826B4" w:rsidRPr="00EB1D63" w:rsidRDefault="00C826B4" w:rsidP="008F55E5">
      <w:pPr>
        <w:spacing w:line="240" w:lineRule="auto"/>
        <w:jc w:val="both"/>
        <w:rPr>
          <w:rFonts w:cs="Arial"/>
          <w:szCs w:val="24"/>
        </w:rPr>
      </w:pPr>
      <w:r w:rsidRPr="008F55E5">
        <w:rPr>
          <w:rFonts w:cs="Arial"/>
          <w:szCs w:val="24"/>
        </w:rPr>
        <w:t xml:space="preserve">The </w:t>
      </w:r>
      <w:r w:rsidR="006377C3" w:rsidRPr="008F55E5">
        <w:rPr>
          <w:rFonts w:cs="Arial"/>
          <w:szCs w:val="24"/>
        </w:rPr>
        <w:t xml:space="preserve">annual </w:t>
      </w:r>
      <w:r w:rsidRPr="008F55E5">
        <w:rPr>
          <w:rFonts w:cs="Arial"/>
          <w:szCs w:val="24"/>
        </w:rPr>
        <w:t xml:space="preserve">bonus is only paid as </w:t>
      </w:r>
      <w:r w:rsidR="006377C3" w:rsidRPr="008F55E5">
        <w:rPr>
          <w:rFonts w:cs="Arial"/>
          <w:szCs w:val="24"/>
        </w:rPr>
        <w:t xml:space="preserve">a </w:t>
      </w:r>
      <w:r w:rsidRPr="008F55E5">
        <w:rPr>
          <w:rFonts w:cs="Arial"/>
          <w:szCs w:val="24"/>
        </w:rPr>
        <w:t>£2</w:t>
      </w:r>
      <w:r w:rsidR="006377C3" w:rsidRPr="008F55E5">
        <w:rPr>
          <w:rFonts w:cs="Arial"/>
          <w:szCs w:val="24"/>
        </w:rPr>
        <w:t>66</w:t>
      </w:r>
      <w:r w:rsidRPr="008F55E5">
        <w:rPr>
          <w:rFonts w:cs="Arial"/>
          <w:szCs w:val="24"/>
        </w:rPr>
        <w:t xml:space="preserve"> flat rate </w:t>
      </w:r>
      <w:r w:rsidR="006377C3" w:rsidRPr="008F55E5">
        <w:rPr>
          <w:rFonts w:cs="Arial"/>
          <w:szCs w:val="24"/>
        </w:rPr>
        <w:t xml:space="preserve">to all non-executive staff </w:t>
      </w:r>
      <w:r w:rsidRPr="008F55E5">
        <w:rPr>
          <w:rFonts w:cs="Arial"/>
          <w:szCs w:val="24"/>
        </w:rPr>
        <w:t>(hence the median being zero). However</w:t>
      </w:r>
      <w:r w:rsidR="00FC417F" w:rsidRPr="008F55E5">
        <w:rPr>
          <w:rFonts w:cs="Arial"/>
          <w:szCs w:val="24"/>
        </w:rPr>
        <w:t>,</w:t>
      </w:r>
      <w:r w:rsidRPr="008F55E5">
        <w:rPr>
          <w:rFonts w:cs="Arial"/>
          <w:szCs w:val="24"/>
        </w:rPr>
        <w:t xml:space="preserve"> the </w:t>
      </w:r>
      <w:r w:rsidR="006377C3" w:rsidRPr="008F55E5">
        <w:rPr>
          <w:rFonts w:cs="Arial"/>
          <w:szCs w:val="24"/>
        </w:rPr>
        <w:t xml:space="preserve">5.8% pay </w:t>
      </w:r>
      <w:r w:rsidRPr="008F55E5">
        <w:rPr>
          <w:rFonts w:cs="Arial"/>
          <w:szCs w:val="24"/>
        </w:rPr>
        <w:t xml:space="preserve">gap </w:t>
      </w:r>
      <w:r w:rsidR="006377C3" w:rsidRPr="008F55E5">
        <w:rPr>
          <w:rFonts w:cs="Arial"/>
          <w:szCs w:val="24"/>
        </w:rPr>
        <w:t xml:space="preserve">in favour of White British / European background staff for </w:t>
      </w:r>
      <w:r w:rsidRPr="008F55E5">
        <w:rPr>
          <w:rFonts w:cs="Arial"/>
          <w:szCs w:val="24"/>
        </w:rPr>
        <w:t xml:space="preserve">the mean bonus reflects the fact that we do not pay </w:t>
      </w:r>
      <w:r w:rsidR="006377C3" w:rsidRPr="008F55E5">
        <w:rPr>
          <w:rFonts w:cs="Arial"/>
          <w:szCs w:val="24"/>
        </w:rPr>
        <w:t>a bonus</w:t>
      </w:r>
      <w:r w:rsidRPr="008F55E5">
        <w:rPr>
          <w:rFonts w:cs="Arial"/>
          <w:szCs w:val="24"/>
        </w:rPr>
        <w:t xml:space="preserve"> to staff </w:t>
      </w:r>
      <w:r w:rsidR="006377C3" w:rsidRPr="008F55E5">
        <w:rPr>
          <w:rFonts w:cs="Arial"/>
          <w:szCs w:val="24"/>
        </w:rPr>
        <w:t>in their probationary period</w:t>
      </w:r>
      <w:r w:rsidRPr="008F55E5">
        <w:rPr>
          <w:rFonts w:cs="Arial"/>
          <w:szCs w:val="24"/>
        </w:rPr>
        <w:t xml:space="preserve"> probation (in their first six months of service) and </w:t>
      </w:r>
      <w:r w:rsidR="006377C3" w:rsidRPr="008F55E5">
        <w:rPr>
          <w:rFonts w:cs="Arial"/>
          <w:szCs w:val="24"/>
        </w:rPr>
        <w:t xml:space="preserve">so </w:t>
      </w:r>
      <w:r w:rsidRPr="008F55E5">
        <w:rPr>
          <w:rFonts w:cs="Arial"/>
          <w:szCs w:val="24"/>
        </w:rPr>
        <w:t xml:space="preserve">reflects the large number of new employees who were </w:t>
      </w:r>
      <w:r w:rsidR="004F0D6C" w:rsidRPr="008F55E5">
        <w:rPr>
          <w:rFonts w:cs="Arial"/>
          <w:szCs w:val="24"/>
        </w:rPr>
        <w:t>Black, Asian and ethnically diverse</w:t>
      </w:r>
      <w:r w:rsidRPr="008F55E5">
        <w:rPr>
          <w:rFonts w:cs="Arial"/>
          <w:szCs w:val="24"/>
        </w:rPr>
        <w:t xml:space="preserve"> in 202</w:t>
      </w:r>
      <w:r w:rsidR="006377C3" w:rsidRPr="008F55E5">
        <w:rPr>
          <w:rFonts w:cs="Arial"/>
          <w:szCs w:val="24"/>
        </w:rPr>
        <w:t>3</w:t>
      </w:r>
      <w:r w:rsidRPr="008F55E5">
        <w:rPr>
          <w:rFonts w:cs="Arial"/>
          <w:szCs w:val="24"/>
        </w:rPr>
        <w:t>.</w:t>
      </w:r>
    </w:p>
    <w:p w14:paraId="0F0C6414" w14:textId="492BC167" w:rsidR="00C826B4" w:rsidRPr="00EB1D63" w:rsidRDefault="00C826B4" w:rsidP="008F55E5">
      <w:pPr>
        <w:spacing w:line="240" w:lineRule="auto"/>
        <w:jc w:val="both"/>
        <w:rPr>
          <w:rFonts w:cs="Arial"/>
          <w:szCs w:val="24"/>
        </w:rPr>
      </w:pPr>
    </w:p>
    <w:p w14:paraId="2EA76DD3" w14:textId="744C0A5D" w:rsidR="00264D84" w:rsidRPr="00EB1D63" w:rsidRDefault="00264D84" w:rsidP="008F55E5">
      <w:pPr>
        <w:spacing w:line="240" w:lineRule="auto"/>
        <w:jc w:val="both"/>
        <w:rPr>
          <w:rFonts w:cs="Arial"/>
          <w:color w:val="FF0000"/>
          <w:szCs w:val="24"/>
        </w:rPr>
      </w:pPr>
      <w:r w:rsidRPr="008F55E5">
        <w:rPr>
          <w:rFonts w:cs="Arial"/>
          <w:szCs w:val="24"/>
        </w:rPr>
        <w:t xml:space="preserve">As a comparator, </w:t>
      </w:r>
      <w:r w:rsidR="00425F12" w:rsidRPr="008F55E5">
        <w:rPr>
          <w:rFonts w:cs="Arial"/>
          <w:szCs w:val="24"/>
        </w:rPr>
        <w:t xml:space="preserve">information on the Civil Service ethnicity pay gap can be found </w:t>
      </w:r>
      <w:hyperlink r:id="rId10">
        <w:r w:rsidR="00425F12" w:rsidRPr="008F55E5">
          <w:rPr>
            <w:rStyle w:val="Hyperlink"/>
            <w:rFonts w:cs="Arial"/>
            <w:szCs w:val="24"/>
          </w:rPr>
          <w:t>here</w:t>
        </w:r>
      </w:hyperlink>
      <w:r w:rsidR="00425F12" w:rsidRPr="008F55E5">
        <w:rPr>
          <w:rFonts w:cs="Arial"/>
          <w:color w:val="FF0000"/>
          <w:szCs w:val="24"/>
        </w:rPr>
        <w:t xml:space="preserve"> </w:t>
      </w:r>
      <w:r w:rsidR="00425F12" w:rsidRPr="008F55E5">
        <w:rPr>
          <w:rFonts w:cs="Arial"/>
          <w:szCs w:val="24"/>
        </w:rPr>
        <w:t xml:space="preserve">although the Civil Service take a different approach to calculation. </w:t>
      </w:r>
    </w:p>
    <w:p w14:paraId="251680E5" w14:textId="1D623ADE" w:rsidR="00A3302F" w:rsidRPr="00EB1D63" w:rsidRDefault="00A3302F" w:rsidP="008F55E5">
      <w:pPr>
        <w:spacing w:line="240" w:lineRule="auto"/>
        <w:jc w:val="both"/>
        <w:rPr>
          <w:rFonts w:cs="Arial"/>
          <w:color w:val="FF0000"/>
          <w:szCs w:val="24"/>
        </w:rPr>
      </w:pPr>
    </w:p>
    <w:p w14:paraId="5C79185C" w14:textId="4B2E749C" w:rsidR="00A3302F" w:rsidRPr="00EB1D63" w:rsidRDefault="00A3302F" w:rsidP="008F55E5">
      <w:pPr>
        <w:spacing w:line="240" w:lineRule="auto"/>
        <w:jc w:val="both"/>
        <w:rPr>
          <w:rFonts w:cs="Arial"/>
          <w:color w:val="FF0000"/>
          <w:szCs w:val="24"/>
        </w:rPr>
      </w:pPr>
    </w:p>
    <w:sectPr w:rsidR="00A3302F" w:rsidRPr="00EB1D63">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16cid:durableId="1124150860">
    <w:abstractNumId w:val="4"/>
  </w:num>
  <w:num w:numId="2" w16cid:durableId="345406719">
    <w:abstractNumId w:val="0"/>
  </w:num>
  <w:num w:numId="3" w16cid:durableId="713391622">
    <w:abstractNumId w:val="0"/>
  </w:num>
  <w:num w:numId="4" w16cid:durableId="478352824">
    <w:abstractNumId w:val="0"/>
  </w:num>
  <w:num w:numId="5" w16cid:durableId="144974771">
    <w:abstractNumId w:val="0"/>
  </w:num>
  <w:num w:numId="6" w16cid:durableId="1287152605">
    <w:abstractNumId w:val="0"/>
  </w:num>
  <w:num w:numId="7" w16cid:durableId="1875729006">
    <w:abstractNumId w:val="0"/>
  </w:num>
  <w:num w:numId="8" w16cid:durableId="1686664332">
    <w:abstractNumId w:val="0"/>
  </w:num>
  <w:num w:numId="9" w16cid:durableId="1458839548">
    <w:abstractNumId w:val="0"/>
  </w:num>
  <w:num w:numId="10" w16cid:durableId="1480993842">
    <w:abstractNumId w:val="0"/>
  </w:num>
  <w:num w:numId="11" w16cid:durableId="2085562647">
    <w:abstractNumId w:val="0"/>
  </w:num>
  <w:num w:numId="12" w16cid:durableId="1536389199">
    <w:abstractNumId w:val="2"/>
  </w:num>
  <w:num w:numId="13" w16cid:durableId="1226842786">
    <w:abstractNumId w:val="3"/>
  </w:num>
  <w:num w:numId="14" w16cid:durableId="2037777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E6"/>
    <w:rsid w:val="00024472"/>
    <w:rsid w:val="0003269E"/>
    <w:rsid w:val="0009669D"/>
    <w:rsid w:val="0011170B"/>
    <w:rsid w:val="00193987"/>
    <w:rsid w:val="00264D84"/>
    <w:rsid w:val="00425F12"/>
    <w:rsid w:val="004F0D6C"/>
    <w:rsid w:val="004F183E"/>
    <w:rsid w:val="0058392B"/>
    <w:rsid w:val="00593B5B"/>
    <w:rsid w:val="005E702C"/>
    <w:rsid w:val="006377C3"/>
    <w:rsid w:val="00670A18"/>
    <w:rsid w:val="006B239B"/>
    <w:rsid w:val="008F55E5"/>
    <w:rsid w:val="00993DE6"/>
    <w:rsid w:val="009A01CB"/>
    <w:rsid w:val="009A0E6B"/>
    <w:rsid w:val="009C2C12"/>
    <w:rsid w:val="009F0369"/>
    <w:rsid w:val="00A3302F"/>
    <w:rsid w:val="00AD7029"/>
    <w:rsid w:val="00B80835"/>
    <w:rsid w:val="00BA5F13"/>
    <w:rsid w:val="00C153AC"/>
    <w:rsid w:val="00C25E69"/>
    <w:rsid w:val="00C826B4"/>
    <w:rsid w:val="00CF5C93"/>
    <w:rsid w:val="00DB5E4A"/>
    <w:rsid w:val="00DD11D6"/>
    <w:rsid w:val="00DE0D6B"/>
    <w:rsid w:val="00EB1D63"/>
    <w:rsid w:val="00F72FE2"/>
    <w:rsid w:val="00FC417F"/>
    <w:rsid w:val="00FD7A15"/>
    <w:rsid w:val="05894427"/>
    <w:rsid w:val="14961BD0"/>
    <w:rsid w:val="25FE3C69"/>
    <w:rsid w:val="365AE552"/>
    <w:rsid w:val="40EC913B"/>
    <w:rsid w:val="613125D7"/>
    <w:rsid w:val="682DC14A"/>
    <w:rsid w:val="68F8C65B"/>
    <w:rsid w:val="73667B20"/>
    <w:rsid w:val="76478455"/>
    <w:rsid w:val="77403C2B"/>
    <w:rsid w:val="777F83A0"/>
    <w:rsid w:val="7A288F90"/>
    <w:rsid w:val="7B6FD8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A95D4"/>
  <w15:chartTrackingRefBased/>
  <w15:docId w15:val="{8C6A47AA-D098-4EF7-9FAF-BC998ECB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E6"/>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Revision">
    <w:name w:val="Revision"/>
    <w:hidden/>
    <w:uiPriority w:val="99"/>
    <w:semiHidden/>
    <w:rsid w:val="00264D84"/>
    <w:rPr>
      <w:rFonts w:ascii="Arial" w:hAnsi="Arial"/>
      <w:sz w:val="24"/>
      <w:lang w:eastAsia="en-US"/>
    </w:rPr>
  </w:style>
  <w:style w:type="character" w:styleId="UnresolvedMention">
    <w:name w:val="Unresolved Mention"/>
    <w:basedOn w:val="DefaultParagraphFont"/>
    <w:uiPriority w:val="99"/>
    <w:semiHidden/>
    <w:unhideWhenUsed/>
    <w:rsid w:val="00264D84"/>
    <w:rPr>
      <w:color w:val="605E5C"/>
      <w:shd w:val="clear" w:color="auto" w:fill="E1DFDD"/>
    </w:rPr>
  </w:style>
  <w:style w:type="character" w:customStyle="1" w:styleId="normaltextrun">
    <w:name w:val="normaltextrun"/>
    <w:basedOn w:val="DefaultParagraphFont"/>
    <w:rsid w:val="00DB5E4A"/>
  </w:style>
  <w:style w:type="character" w:customStyle="1" w:styleId="eop">
    <w:name w:val="eop"/>
    <w:basedOn w:val="DefaultParagraphFont"/>
    <w:rsid w:val="00DB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38664">
      <w:bodyDiv w:val="1"/>
      <w:marLeft w:val="0"/>
      <w:marRight w:val="0"/>
      <w:marTop w:val="0"/>
      <w:marBottom w:val="0"/>
      <w:divBdr>
        <w:top w:val="none" w:sz="0" w:space="0" w:color="auto"/>
        <w:left w:val="none" w:sz="0" w:space="0" w:color="auto"/>
        <w:bottom w:val="none" w:sz="0" w:space="0" w:color="auto"/>
        <w:right w:val="none" w:sz="0" w:space="0" w:color="auto"/>
      </w:divBdr>
    </w:div>
    <w:div w:id="234173449">
      <w:bodyDiv w:val="1"/>
      <w:marLeft w:val="0"/>
      <w:marRight w:val="0"/>
      <w:marTop w:val="0"/>
      <w:marBottom w:val="0"/>
      <w:divBdr>
        <w:top w:val="none" w:sz="0" w:space="0" w:color="auto"/>
        <w:left w:val="none" w:sz="0" w:space="0" w:color="auto"/>
        <w:bottom w:val="none" w:sz="0" w:space="0" w:color="auto"/>
        <w:right w:val="none" w:sz="0" w:space="0" w:color="auto"/>
      </w:divBdr>
    </w:div>
    <w:div w:id="319430310">
      <w:bodyDiv w:val="1"/>
      <w:marLeft w:val="0"/>
      <w:marRight w:val="0"/>
      <w:marTop w:val="0"/>
      <w:marBottom w:val="0"/>
      <w:divBdr>
        <w:top w:val="none" w:sz="0" w:space="0" w:color="auto"/>
        <w:left w:val="none" w:sz="0" w:space="0" w:color="auto"/>
        <w:bottom w:val="none" w:sz="0" w:space="0" w:color="auto"/>
        <w:right w:val="none" w:sz="0" w:space="0" w:color="auto"/>
      </w:divBdr>
    </w:div>
    <w:div w:id="330718858">
      <w:bodyDiv w:val="1"/>
      <w:marLeft w:val="0"/>
      <w:marRight w:val="0"/>
      <w:marTop w:val="0"/>
      <w:marBottom w:val="0"/>
      <w:divBdr>
        <w:top w:val="none" w:sz="0" w:space="0" w:color="auto"/>
        <w:left w:val="none" w:sz="0" w:space="0" w:color="auto"/>
        <w:bottom w:val="none" w:sz="0" w:space="0" w:color="auto"/>
        <w:right w:val="none" w:sz="0" w:space="0" w:color="auto"/>
      </w:divBdr>
    </w:div>
    <w:div w:id="1036547223">
      <w:bodyDiv w:val="1"/>
      <w:marLeft w:val="0"/>
      <w:marRight w:val="0"/>
      <w:marTop w:val="0"/>
      <w:marBottom w:val="0"/>
      <w:divBdr>
        <w:top w:val="none" w:sz="0" w:space="0" w:color="auto"/>
        <w:left w:val="none" w:sz="0" w:space="0" w:color="auto"/>
        <w:bottom w:val="none" w:sz="0" w:space="0" w:color="auto"/>
        <w:right w:val="none" w:sz="0" w:space="0" w:color="auto"/>
      </w:divBdr>
    </w:div>
    <w:div w:id="1724524548">
      <w:bodyDiv w:val="1"/>
      <w:marLeft w:val="0"/>
      <w:marRight w:val="0"/>
      <w:marTop w:val="0"/>
      <w:marBottom w:val="0"/>
      <w:divBdr>
        <w:top w:val="none" w:sz="0" w:space="0" w:color="auto"/>
        <w:left w:val="none" w:sz="0" w:space="0" w:color="auto"/>
        <w:bottom w:val="none" w:sz="0" w:space="0" w:color="auto"/>
        <w:right w:val="none" w:sz="0" w:space="0" w:color="auto"/>
      </w:divBdr>
    </w:div>
    <w:div w:id="20149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ivil-service-statistics-2023/statistical-bulletin-civil-service-statistics-20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thnicity-facts-figures.service.gov.uk/workforce-and-business/public-sector-pay/civil-service-pay/latest/"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3b289c-f11c-48ca-8c99-7a44317c705b">
      <Terms xmlns="http://schemas.microsoft.com/office/infopath/2007/PartnerControls"/>
    </lcf76f155ced4ddcb4097134ff3c332f>
    <TaxCatchAll xmlns="32a02632-1bd0-47a3-8ab0-809a410db0a8" xsi:nil="true"/>
    <SharedWithUsers xmlns="32a02632-1bd0-47a3-8ab0-809a410db0a8">
      <UserInfo>
        <DisplayName>Sarah Crown</DisplayName>
        <AccountId>83</AccountId>
        <AccountType/>
      </UserInfo>
      <UserInfo>
        <DisplayName>Francesca Meale</DisplayName>
        <AccountId>133</AccountId>
        <AccountType/>
      </UserInfo>
      <UserInfo>
        <DisplayName>Georgia O'Connor</DisplayName>
        <AccountId>1474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20" ma:contentTypeDescription="Create a new document." ma:contentTypeScope="" ma:versionID="91d0d1a40de0608703d6b59511662824">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ec45c110ae52dc1b3a1f13141fc24a53"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0ab561-5153-4245-a1db-089f8dbbfcbd}" ma:internalName="TaxCatchAll" ma:showField="CatchAllData" ma:web="32a02632-1bd0-47a3-8ab0-809a410db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52000-E87A-40F4-80C1-F7E818356880}">
  <ds:schemaRefs>
    <ds:schemaRef ds:uri="http://schemas.microsoft.com/office/2006/metadata/properties"/>
    <ds:schemaRef ds:uri="http://purl.org/dc/terms/"/>
    <ds:schemaRef ds:uri="32a02632-1bd0-47a3-8ab0-809a410db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43b289c-f11c-48ca-8c99-7a44317c705b"/>
    <ds:schemaRef ds:uri="http://www.w3.org/XML/1998/namespace"/>
    <ds:schemaRef ds:uri="http://purl.org/dc/dcmitype/"/>
  </ds:schemaRefs>
</ds:datastoreItem>
</file>

<file path=customXml/itemProps2.xml><?xml version="1.0" encoding="utf-8"?>
<ds:datastoreItem xmlns:ds="http://schemas.openxmlformats.org/officeDocument/2006/customXml" ds:itemID="{050E7259-D1F5-43C5-9B5A-74EA89D8C5D7}">
  <ds:schemaRefs>
    <ds:schemaRef ds:uri="http://schemas.microsoft.com/sharepoint/v3/contenttype/forms"/>
  </ds:schemaRefs>
</ds:datastoreItem>
</file>

<file path=customXml/itemProps3.xml><?xml version="1.0" encoding="utf-8"?>
<ds:datastoreItem xmlns:ds="http://schemas.openxmlformats.org/officeDocument/2006/customXml" ds:itemID="{18BA72E0-DA6D-4BE4-8AAA-CAD7D036F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b289c-f11c-48ca-8c99-7a44317c705b"/>
    <ds:schemaRef ds:uri="32a02632-1bd0-47a3-8ab0-809a410db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917</Words>
  <Characters>5232</Characters>
  <Application>Microsoft Office Word</Application>
  <DocSecurity>4</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Ashcroft</dc:creator>
  <cp:keywords/>
  <dc:description/>
  <cp:lastModifiedBy>Charlotte Clemo</cp:lastModifiedBy>
  <cp:revision>5</cp:revision>
  <cp:lastPrinted>1998-09-28T15:30:00Z</cp:lastPrinted>
  <dcterms:created xsi:type="dcterms:W3CDTF">2024-03-27T10:05:00Z</dcterms:created>
  <dcterms:modified xsi:type="dcterms:W3CDTF">2024-03-27T14:02:00Z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a24896233239ffa15efa1e14ee72ad404f4135ef5c7442a4e6953bf168f0c550</vt:lpwstr>
  </property>
  <property fmtid="{D5CDD505-2E9C-101B-9397-08002B2CF9AE}" pid="3" name="ContentTypeId">
    <vt:lpwstr>0x0101000ED5C514998EA041AEC6DB626849AF1F</vt:lpwstr>
  </property>
  <property fmtid="{D5CDD505-2E9C-101B-9397-08002B2CF9AE}" pid="4" name="MediaServiceImageTags">
    <vt:lpwstr/>
  </property>
</Properties>
</file>