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C692" w14:textId="77777777" w:rsidR="009A4340" w:rsidRPr="000536C9" w:rsidRDefault="009A4340" w:rsidP="00131ADC">
      <w:pPr>
        <w:pStyle w:val="Title"/>
      </w:pPr>
    </w:p>
    <w:p w14:paraId="0EECEAE3" w14:textId="77777777" w:rsidR="00BD1BB0" w:rsidRDefault="009A4340" w:rsidP="00436E21">
      <w:pPr>
        <w:pStyle w:val="Title"/>
        <w:rPr>
          <w:color w:val="323E4F" w:themeColor="text2" w:themeShade="BF"/>
          <w:sz w:val="52"/>
          <w:szCs w:val="52"/>
        </w:rPr>
      </w:pPr>
      <w:r w:rsidRPr="00FE3699">
        <w:rPr>
          <w:color w:val="323E4F" w:themeColor="text2" w:themeShade="BF"/>
          <w:sz w:val="52"/>
          <w:szCs w:val="52"/>
        </w:rPr>
        <w:t>Transforming Governance Resources</w:t>
      </w:r>
    </w:p>
    <w:p w14:paraId="1F7A3032" w14:textId="2D97BF50" w:rsidR="00FE3699" w:rsidRPr="00FE3699" w:rsidRDefault="0011766E" w:rsidP="00FE3699">
      <w:r>
        <w:rPr>
          <w:noProof/>
        </w:rPr>
        <w:pict w14:anchorId="31932F0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998056" w14:textId="77777777" w:rsidR="00BB198E" w:rsidRPr="00FE3699" w:rsidRDefault="00BB198E" w:rsidP="00BB198E">
      <w:pPr>
        <w:rPr>
          <w:rFonts w:ascii="Arial" w:hAnsi="Arial" w:cs="Arial"/>
          <w:sz w:val="8"/>
          <w:szCs w:val="8"/>
        </w:rPr>
      </w:pPr>
    </w:p>
    <w:p w14:paraId="1DDB7729" w14:textId="19047240" w:rsidR="00602393" w:rsidRPr="007E015B" w:rsidRDefault="00BB198E" w:rsidP="00BB198E">
      <w:pPr>
        <w:rPr>
          <w:rFonts w:ascii="Arial" w:hAnsi="Arial" w:cs="Arial"/>
        </w:rPr>
      </w:pPr>
      <w:r w:rsidRPr="007E015B">
        <w:rPr>
          <w:rFonts w:ascii="Arial" w:hAnsi="Arial" w:cs="Arial"/>
        </w:rPr>
        <w:t xml:space="preserve">The following document provides a series of resources for participants of the Transforming Governance Programme. </w:t>
      </w:r>
    </w:p>
    <w:p w14:paraId="1FB39948" w14:textId="77777777" w:rsidR="009C4388" w:rsidRPr="00FE3699" w:rsidRDefault="009C4388" w:rsidP="00BB198E">
      <w:pPr>
        <w:rPr>
          <w:rFonts w:ascii="Arial" w:hAnsi="Arial" w:cs="Arial"/>
          <w:sz w:val="22"/>
          <w:szCs w:val="22"/>
        </w:rPr>
      </w:pPr>
    </w:p>
    <w:p w14:paraId="2A70C41B" w14:textId="77777777" w:rsidR="00C204FC" w:rsidRPr="00C204FC" w:rsidRDefault="00C204FC" w:rsidP="00C204FC">
      <w:pPr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</w:pPr>
      <w:r w:rsidRPr="00C204FC">
        <w:rPr>
          <w:rFonts w:asciiTheme="majorHAnsi" w:eastAsiaTheme="majorEastAsia" w:hAnsiTheme="majorHAnsi" w:cstheme="majorBidi"/>
          <w:b/>
          <w:bCs/>
          <w:color w:val="44546A" w:themeColor="text2"/>
          <w:sz w:val="28"/>
          <w:szCs w:val="28"/>
        </w:rPr>
        <w:t>Governance and the ACE Investment Principles</w:t>
      </w:r>
    </w:p>
    <w:p w14:paraId="700D1408" w14:textId="3D50D32E" w:rsidR="00C204FC" w:rsidRPr="007E015B" w:rsidRDefault="00C204FC" w:rsidP="00C204FC">
      <w:pPr>
        <w:rPr>
          <w:rFonts w:ascii="ArialMT" w:hAnsi="ArialMT"/>
        </w:rPr>
      </w:pPr>
      <w:r w:rsidRPr="007E015B">
        <w:rPr>
          <w:rFonts w:ascii="ArialMT" w:hAnsi="ArialMT"/>
        </w:rPr>
        <w:t xml:space="preserve">This session focuses on the Ambition &amp; Quality, Dynamism and Environmental Responsibility Investment Principles, and seeks to support boards to work with the Investment Principles as drivers of change. </w:t>
      </w:r>
    </w:p>
    <w:p w14:paraId="19DC79B0" w14:textId="77777777" w:rsidR="004C735F" w:rsidRDefault="004C735F" w:rsidP="00BB459F">
      <w:pPr>
        <w:rPr>
          <w:rFonts w:ascii="Arial" w:hAnsi="Arial" w:cs="Arial"/>
        </w:rPr>
      </w:pPr>
    </w:p>
    <w:p w14:paraId="771176EC" w14:textId="311AE616" w:rsidR="00E93BA8" w:rsidRPr="00C80DA2" w:rsidRDefault="00E93BA8" w:rsidP="00BB459F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C80DA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Resources from Arts Council England</w:t>
      </w:r>
    </w:p>
    <w:p w14:paraId="1875FB7C" w14:textId="55DA4458" w:rsidR="00E93BA8" w:rsidRDefault="00E93BA8" w:rsidP="00BB459F">
      <w:pPr>
        <w:rPr>
          <w:rFonts w:ascii="ArialMT" w:hAnsi="ArialMT"/>
        </w:rPr>
      </w:pPr>
      <w:r>
        <w:rPr>
          <w:rFonts w:ascii="ArialMT" w:hAnsi="ArialMT"/>
        </w:rPr>
        <w:t xml:space="preserve">The following resources come directly from Arts Council England and provide a clear overview of what is required to successfully implement Let’s Create and the Investment Principles. </w:t>
      </w:r>
    </w:p>
    <w:p w14:paraId="1B7EA95F" w14:textId="77777777" w:rsidR="00E93BA8" w:rsidRPr="00E93BA8" w:rsidRDefault="00E93BA8" w:rsidP="00BB459F">
      <w:pPr>
        <w:rPr>
          <w:rFonts w:ascii="ArialMT" w:hAnsi="ArialMT"/>
        </w:rPr>
      </w:pPr>
    </w:p>
    <w:p w14:paraId="0BF9C941" w14:textId="77777777" w:rsidR="00C204FC" w:rsidRPr="00C204FC" w:rsidRDefault="00C204FC" w:rsidP="00C204FC">
      <w:pPr>
        <w:pStyle w:val="Heading2"/>
        <w:rPr>
          <w:b/>
          <w:bCs/>
          <w:color w:val="4472C4" w:themeColor="accent1"/>
        </w:rPr>
      </w:pPr>
      <w:r w:rsidRPr="00C204FC">
        <w:rPr>
          <w:b/>
          <w:bCs/>
          <w:color w:val="4472C4" w:themeColor="accent1"/>
        </w:rPr>
        <w:t xml:space="preserve">Let’s Create Strategy </w:t>
      </w:r>
    </w:p>
    <w:p w14:paraId="6155F728" w14:textId="562DAA26" w:rsidR="00BA5415" w:rsidRDefault="00C204FC" w:rsidP="00BA5415">
      <w:r>
        <w:t xml:space="preserve">An overview of the Arts Council’s 2020-30 </w:t>
      </w:r>
      <w:r w:rsidRPr="00C204FC">
        <w:rPr>
          <w:i/>
          <w:iCs/>
        </w:rPr>
        <w:t>Let’s Create</w:t>
      </w:r>
      <w:r>
        <w:t xml:space="preserve"> strategy is accessible online. Section 7 outlines each of the four Investment Principles. </w:t>
      </w:r>
    </w:p>
    <w:p w14:paraId="75BF0290" w14:textId="77777777" w:rsidR="00C204FC" w:rsidRDefault="00C204FC" w:rsidP="00BA5415"/>
    <w:p w14:paraId="570501F2" w14:textId="16062368" w:rsidR="00C204FC" w:rsidRDefault="00000000" w:rsidP="00BA5415">
      <w:hyperlink r:id="rId10" w:history="1">
        <w:r w:rsidR="00C204FC" w:rsidRPr="00C204FC">
          <w:rPr>
            <w:rStyle w:val="Hyperlink"/>
          </w:rPr>
          <w:t>Full Resource Here</w:t>
        </w:r>
      </w:hyperlink>
    </w:p>
    <w:p w14:paraId="1C0204A8" w14:textId="77777777" w:rsidR="00C204FC" w:rsidRPr="00BA5415" w:rsidRDefault="00C204FC" w:rsidP="00BA5415"/>
    <w:p w14:paraId="1E182865" w14:textId="77777777" w:rsidR="00C204FC" w:rsidRPr="00C204FC" w:rsidRDefault="00C204FC" w:rsidP="00C204FC">
      <w:pPr>
        <w:pStyle w:val="Heading2"/>
        <w:rPr>
          <w:b/>
          <w:bCs/>
          <w:color w:val="4472C4" w:themeColor="accent1"/>
        </w:rPr>
      </w:pPr>
      <w:r w:rsidRPr="00C204FC">
        <w:rPr>
          <w:b/>
          <w:bCs/>
          <w:color w:val="4472C4" w:themeColor="accent1"/>
        </w:rPr>
        <w:t xml:space="preserve">Overview of the Investment Principles </w:t>
      </w:r>
    </w:p>
    <w:p w14:paraId="05070A85" w14:textId="6E2B6BBE" w:rsidR="00C204FC" w:rsidRDefault="00C204FC" w:rsidP="00C529DC">
      <w:r>
        <w:t xml:space="preserve">Simon Mellor, Deputy Chief Executive of </w:t>
      </w:r>
      <w:r w:rsidRPr="00C204FC">
        <w:t>Arts and Culture at Arts Council England</w:t>
      </w:r>
      <w:r>
        <w:t xml:space="preserve"> writes for Arts Professional </w:t>
      </w:r>
      <w:r w:rsidRPr="00C204FC">
        <w:t xml:space="preserve">on the principles that will shape </w:t>
      </w:r>
      <w:r>
        <w:t xml:space="preserve">the organisation’s </w:t>
      </w:r>
      <w:r w:rsidRPr="00C204FC">
        <w:t>strategy and funding decisions in the coming years.</w:t>
      </w:r>
    </w:p>
    <w:p w14:paraId="00726604" w14:textId="77777777" w:rsidR="00C204FC" w:rsidRDefault="00C204FC" w:rsidP="00C529DC"/>
    <w:p w14:paraId="322E7D17" w14:textId="0EE95503" w:rsidR="00C204FC" w:rsidRDefault="00000000" w:rsidP="00C529DC">
      <w:pPr>
        <w:rPr>
          <w:rStyle w:val="Hyperlink"/>
          <w:color w:val="4472C4" w:themeColor="accent1"/>
        </w:rPr>
      </w:pPr>
      <w:hyperlink r:id="rId11" w:history="1">
        <w:r w:rsidR="00C204FC" w:rsidRPr="00C204FC">
          <w:rPr>
            <w:rStyle w:val="Hyperlink"/>
          </w:rPr>
          <w:t>Ful</w:t>
        </w:r>
        <w:r w:rsidR="00C204FC" w:rsidRPr="00C204FC">
          <w:rPr>
            <w:rStyle w:val="Hyperlink"/>
            <w:color w:val="4472C4" w:themeColor="accent1"/>
          </w:rPr>
          <w:t>l Resource Here</w:t>
        </w:r>
      </w:hyperlink>
    </w:p>
    <w:p w14:paraId="5E8FE139" w14:textId="77777777" w:rsidR="00E93BA8" w:rsidRDefault="00E93BA8" w:rsidP="00C529DC">
      <w:pPr>
        <w:rPr>
          <w:rStyle w:val="Hyperlink"/>
          <w:color w:val="4472C4" w:themeColor="accent1"/>
        </w:rPr>
      </w:pPr>
    </w:p>
    <w:p w14:paraId="3C46853F" w14:textId="77777777" w:rsidR="00E93BA8" w:rsidRDefault="00E93BA8" w:rsidP="00E93BA8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C204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How governance can best reflect the Investment Principles </w:t>
      </w:r>
    </w:p>
    <w:p w14:paraId="78728432" w14:textId="77777777" w:rsidR="00E93BA8" w:rsidRDefault="00E93BA8" w:rsidP="00E93BA8">
      <w:pPr>
        <w:pStyle w:val="NoSpacing"/>
      </w:pPr>
      <w:r>
        <w:t xml:space="preserve">Arts Council’s guide for </w:t>
      </w:r>
      <w:r w:rsidRPr="00C204FC">
        <w:t>people in governance positions of cultural organisations</w:t>
      </w:r>
      <w:r>
        <w:t xml:space="preserve"> </w:t>
      </w:r>
      <w:r w:rsidRPr="00C204FC">
        <w:t>contains all the key messages and facts around the four Investment Principles</w:t>
      </w:r>
      <w:r>
        <w:t xml:space="preserve">, </w:t>
      </w:r>
      <w:r w:rsidRPr="00C204FC">
        <w:t xml:space="preserve">a planning cycle to help embed the Investment Principles </w:t>
      </w:r>
      <w:r>
        <w:t>as well as a</w:t>
      </w:r>
      <w:r w:rsidRPr="00C204FC">
        <w:t xml:space="preserve"> map of actions </w:t>
      </w:r>
      <w:r>
        <w:t>to begin the</w:t>
      </w:r>
      <w:r w:rsidRPr="00C204FC">
        <w:t> journey.</w:t>
      </w:r>
    </w:p>
    <w:p w14:paraId="5C4668D9" w14:textId="77777777" w:rsidR="00E93BA8" w:rsidRDefault="00E93BA8" w:rsidP="00E93BA8">
      <w:pPr>
        <w:pStyle w:val="NoSpacing"/>
      </w:pPr>
    </w:p>
    <w:p w14:paraId="1431423F" w14:textId="77777777" w:rsidR="00E93BA8" w:rsidRPr="00C204FC" w:rsidRDefault="00E93BA8" w:rsidP="00E93BA8">
      <w:pPr>
        <w:pStyle w:val="NoSpacing"/>
      </w:pPr>
      <w:hyperlink r:id="rId12" w:history="1">
        <w:r w:rsidRPr="00C204FC">
          <w:rPr>
            <w:rStyle w:val="Hyperlink"/>
          </w:rPr>
          <w:t>Full Resource Here</w:t>
        </w:r>
      </w:hyperlink>
    </w:p>
    <w:p w14:paraId="7A37B6F6" w14:textId="77777777" w:rsidR="00E93BA8" w:rsidRDefault="00E93BA8" w:rsidP="00C529DC"/>
    <w:p w14:paraId="3B6E45B0" w14:textId="1E291754" w:rsidR="00E93BA8" w:rsidRPr="00C80DA2" w:rsidRDefault="00E93BA8" w:rsidP="00E93BA8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C80DA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Resources from </w:t>
      </w:r>
      <w:r w:rsidRPr="00C80DA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The Sector</w:t>
      </w:r>
    </w:p>
    <w:p w14:paraId="10743D84" w14:textId="62490041" w:rsidR="00E93BA8" w:rsidRDefault="00E93BA8" w:rsidP="00E93BA8">
      <w:pPr>
        <w:rPr>
          <w:rFonts w:ascii="ArialMT" w:hAnsi="ArialMT"/>
        </w:rPr>
      </w:pPr>
      <w:r>
        <w:rPr>
          <w:rFonts w:ascii="ArialMT" w:hAnsi="ArialMT"/>
        </w:rPr>
        <w:t xml:space="preserve">The following resources come </w:t>
      </w:r>
      <w:r>
        <w:rPr>
          <w:rFonts w:ascii="ArialMT" w:hAnsi="ArialMT"/>
        </w:rPr>
        <w:t>a range of organisations across the arts and cultural sector</w:t>
      </w:r>
      <w:r>
        <w:rPr>
          <w:rFonts w:ascii="ArialMT" w:hAnsi="ArialMT"/>
        </w:rPr>
        <w:t xml:space="preserve"> and provide </w:t>
      </w:r>
      <w:r>
        <w:rPr>
          <w:rFonts w:ascii="ArialMT" w:hAnsi="ArialMT"/>
        </w:rPr>
        <w:t xml:space="preserve">guidance and examples of best practice in implementing the Investment Principles. </w:t>
      </w:r>
    </w:p>
    <w:p w14:paraId="5668BCDB" w14:textId="77777777" w:rsidR="00E93BA8" w:rsidRPr="00E93BA8" w:rsidRDefault="00E93BA8" w:rsidP="00E93BA8">
      <w:pPr>
        <w:rPr>
          <w:rFonts w:ascii="ArialMT" w:hAnsi="ArialMT"/>
        </w:rPr>
      </w:pPr>
    </w:p>
    <w:p w14:paraId="5AE08555" w14:textId="1A120B8D" w:rsidR="00C204FC" w:rsidRDefault="00C80DA2" w:rsidP="00C529DC"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Unravelling </w:t>
      </w:r>
      <w:r w:rsidRPr="00C204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the Investment Principles</w:t>
      </w:r>
    </w:p>
    <w:p w14:paraId="7650558D" w14:textId="1F3FADFF" w:rsidR="00C204FC" w:rsidRDefault="00C204FC" w:rsidP="00C529DC">
      <w:r>
        <w:t xml:space="preserve">This infographic from Young Classical Artists Trust offers quick questions to prompt your early thinking about how to incorporate each Investment Principle into your delivery. </w:t>
      </w:r>
    </w:p>
    <w:p w14:paraId="24069AC0" w14:textId="77777777" w:rsidR="00C204FC" w:rsidRDefault="00C204FC" w:rsidP="00C529DC"/>
    <w:p w14:paraId="1BB4DB87" w14:textId="2330ADD8" w:rsidR="00C204FC" w:rsidRDefault="00000000" w:rsidP="00C529DC">
      <w:hyperlink r:id="rId13" w:history="1">
        <w:r w:rsidR="00C204FC" w:rsidRPr="00C204FC">
          <w:rPr>
            <w:rStyle w:val="Hyperlink"/>
          </w:rPr>
          <w:t>Full Re</w:t>
        </w:r>
        <w:r w:rsidR="00C204FC" w:rsidRPr="00C204FC">
          <w:rPr>
            <w:rStyle w:val="Hyperlink"/>
          </w:rPr>
          <w:t>s</w:t>
        </w:r>
        <w:r w:rsidR="00C204FC" w:rsidRPr="00C204FC">
          <w:rPr>
            <w:rStyle w:val="Hyperlink"/>
          </w:rPr>
          <w:t>ource Here</w:t>
        </w:r>
      </w:hyperlink>
      <w:r w:rsidR="00C204FC">
        <w:t xml:space="preserve"> </w:t>
      </w:r>
    </w:p>
    <w:p w14:paraId="0C0853D4" w14:textId="77777777" w:rsidR="00C204FC" w:rsidRDefault="00C204FC" w:rsidP="00C529DC"/>
    <w:p w14:paraId="5379645F" w14:textId="47F365B1" w:rsidR="00C204FC" w:rsidRDefault="00C204FC" w:rsidP="00C204FC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C204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How the Investment Principles guide effective practice</w:t>
      </w:r>
    </w:p>
    <w:p w14:paraId="3B343754" w14:textId="7DBAA339" w:rsidR="00C204FC" w:rsidRDefault="00C204FC" w:rsidP="00C204FC">
      <w:pPr>
        <w:pStyle w:val="NoSpacing"/>
      </w:pPr>
      <w:r>
        <w:t>A New Direction’s 2021-22 event series featured several diverse case studies reflecting best practice under each Investment Principle in</w:t>
      </w:r>
      <w:r w:rsidRPr="00C204FC">
        <w:t xml:space="preserve"> </w:t>
      </w:r>
      <w:r>
        <w:t>work for children and young people.</w:t>
      </w:r>
    </w:p>
    <w:p w14:paraId="40EDF29F" w14:textId="77777777" w:rsidR="00C204FC" w:rsidRDefault="00C204FC" w:rsidP="00C204FC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5274CE23" w14:textId="7C14C667" w:rsidR="00C204FC" w:rsidRDefault="00000000" w:rsidP="00C204FC">
      <w:pPr>
        <w:rPr>
          <w:color w:val="4472C4" w:themeColor="accent1"/>
        </w:rPr>
      </w:pPr>
      <w:hyperlink r:id="rId14" w:history="1">
        <w:r w:rsidR="00C204FC" w:rsidRPr="00C204FC">
          <w:rPr>
            <w:rStyle w:val="Hyperlink"/>
            <w:rFonts w:eastAsiaTheme="majorEastAsia" w:cstheme="majorBidi"/>
            <w:bCs/>
            <w:color w:val="4472C4" w:themeColor="accent1"/>
          </w:rPr>
          <w:t>Full Resource Here</w:t>
        </w:r>
      </w:hyperlink>
    </w:p>
    <w:p w14:paraId="35C76A85" w14:textId="77777777" w:rsidR="00070D30" w:rsidRDefault="00070D30" w:rsidP="00C204FC">
      <w:pPr>
        <w:rPr>
          <w:color w:val="4472C4" w:themeColor="accent1"/>
        </w:rPr>
      </w:pPr>
    </w:p>
    <w:p w14:paraId="4B533487" w14:textId="2BE9F211" w:rsidR="006C1435" w:rsidRDefault="006C1435" w:rsidP="00070D30">
      <w:pPr>
        <w:rPr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Evaluating the </w:t>
      </w:r>
      <w:r w:rsidRPr="00C204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Investment Principles</w:t>
      </w:r>
    </w:p>
    <w:p w14:paraId="49EFCC63" w14:textId="5E284E5D" w:rsidR="00070D30" w:rsidRPr="00070D30" w:rsidRDefault="00070D30" w:rsidP="00070D30">
      <w:pPr>
        <w:rPr>
          <w:color w:val="000000" w:themeColor="text1"/>
        </w:rPr>
      </w:pPr>
      <w:r w:rsidRPr="00070D30">
        <w:rPr>
          <w:color w:val="000000" w:themeColor="text1"/>
        </w:rPr>
        <w:t xml:space="preserve">The Centre of Cultural Value’s Ben Walmsley and Leila </w:t>
      </w:r>
      <w:proofErr w:type="spellStart"/>
      <w:r w:rsidRPr="00070D30">
        <w:rPr>
          <w:color w:val="000000" w:themeColor="text1"/>
        </w:rPr>
        <w:t>Jancovich</w:t>
      </w:r>
      <w:proofErr w:type="spellEnd"/>
      <w:r w:rsidRPr="00070D30">
        <w:rPr>
          <w:color w:val="000000" w:themeColor="text1"/>
        </w:rPr>
        <w:t xml:space="preserve"> write on the importance of evaluation when seeking to meet the Investment Principles</w:t>
      </w:r>
      <w:r>
        <w:rPr>
          <w:color w:val="000000" w:themeColor="text1"/>
        </w:rPr>
        <w:t>.</w:t>
      </w:r>
    </w:p>
    <w:p w14:paraId="124767AF" w14:textId="77777777" w:rsidR="00070D30" w:rsidRDefault="00070D30" w:rsidP="00C204FC">
      <w:pPr>
        <w:rPr>
          <w:color w:val="4472C4" w:themeColor="accent1"/>
        </w:rPr>
      </w:pPr>
    </w:p>
    <w:p w14:paraId="79115182" w14:textId="2247792E" w:rsidR="00070D30" w:rsidRDefault="00000000" w:rsidP="00C204FC">
      <w:pPr>
        <w:rPr>
          <w:color w:val="4472C4" w:themeColor="accent1"/>
        </w:rPr>
      </w:pPr>
      <w:hyperlink r:id="rId15" w:history="1">
        <w:r w:rsidR="00070D30" w:rsidRPr="00070D30">
          <w:rPr>
            <w:rStyle w:val="Hyperlink"/>
          </w:rPr>
          <w:t>Full Resource Here</w:t>
        </w:r>
      </w:hyperlink>
    </w:p>
    <w:p w14:paraId="68FA239B" w14:textId="77777777" w:rsidR="00C204FC" w:rsidRDefault="00C204FC" w:rsidP="00C204FC">
      <w:pPr>
        <w:pStyle w:val="NoSpacing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14:paraId="593D000A" w14:textId="13E8E732" w:rsidR="00C204FC" w:rsidRDefault="00C204FC" w:rsidP="00C204FC">
      <w:pPr>
        <w:pStyle w:val="NoSpacing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C204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Meeting ACE requirements in implementing the Investment Principles</w:t>
      </w:r>
    </w:p>
    <w:p w14:paraId="19A04712" w14:textId="65EE61E3" w:rsidR="00C204FC" w:rsidRPr="00C204FC" w:rsidRDefault="00C204FC" w:rsidP="00C204FC">
      <w:pPr>
        <w:pStyle w:val="NoSpacing"/>
      </w:pPr>
      <w:r w:rsidRPr="00C204FC">
        <w:t>Parents and Carers in Performing Arts</w:t>
      </w:r>
      <w:r>
        <w:t xml:space="preserve"> hosted a webinar on embedding </w:t>
      </w:r>
      <w:r w:rsidRPr="00C204FC">
        <w:t xml:space="preserve">Inclusion and Relevance and Dynamism into </w:t>
      </w:r>
      <w:r>
        <w:t xml:space="preserve">organisational delivery; the recording remains freely available online. </w:t>
      </w:r>
    </w:p>
    <w:p w14:paraId="6EC7CC67" w14:textId="77777777" w:rsidR="00C204FC" w:rsidRPr="00C204FC" w:rsidRDefault="00C204FC" w:rsidP="00C204FC">
      <w:pPr>
        <w:pStyle w:val="NoSpacing"/>
      </w:pPr>
    </w:p>
    <w:p w14:paraId="7879E0FB" w14:textId="692D646F" w:rsidR="00C204FC" w:rsidRPr="00C204FC" w:rsidRDefault="00000000" w:rsidP="00D01795">
      <w:pPr>
        <w:rPr>
          <w:rFonts w:ascii="Arial" w:hAnsi="Arial" w:cs="Arial"/>
          <w:b/>
          <w:bCs/>
          <w:u w:val="single"/>
        </w:rPr>
      </w:pPr>
      <w:hyperlink r:id="rId16" w:history="1">
        <w:r w:rsidR="00C204FC" w:rsidRPr="00C204FC">
          <w:rPr>
            <w:rStyle w:val="Hyperlink"/>
          </w:rPr>
          <w:t>Full Resource Here</w:t>
        </w:r>
      </w:hyperlink>
    </w:p>
    <w:p w14:paraId="30D6CB11" w14:textId="1A7F0451" w:rsidR="00BC69E1" w:rsidRDefault="00BC69E1" w:rsidP="00D01795">
      <w:pPr>
        <w:rPr>
          <w:rFonts w:ascii="Arial" w:hAnsi="Arial" w:cs="Arial"/>
        </w:rPr>
      </w:pPr>
    </w:p>
    <w:p w14:paraId="2890E7EE" w14:textId="6F32C1CB" w:rsidR="007E015B" w:rsidRDefault="00662009" w:rsidP="00D0179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Focusing on Ambition and Quality </w:t>
      </w:r>
    </w:p>
    <w:p w14:paraId="307217FF" w14:textId="5076DCFC" w:rsidR="00662009" w:rsidRDefault="0099737C" w:rsidP="00D01795">
      <w:r>
        <w:t xml:space="preserve">Impact &amp; Insight </w:t>
      </w:r>
      <w:r w:rsidR="005C3ADC">
        <w:t xml:space="preserve">looks at how to </w:t>
      </w:r>
      <w:r w:rsidR="005C3ADC">
        <w:rPr>
          <w:rFonts w:ascii="Arial" w:hAnsi="Arial" w:cs="Arial"/>
        </w:rPr>
        <w:t xml:space="preserve">use the </w:t>
      </w:r>
      <w:r>
        <w:t xml:space="preserve">Impact &amp; Insight </w:t>
      </w:r>
      <w:r w:rsidR="00662009">
        <w:t xml:space="preserve">Toolkit </w:t>
      </w:r>
      <w:r w:rsidR="005C3ADC">
        <w:t xml:space="preserve">with Arts Council England’s Ambition and Quality Investment Principle in mind. </w:t>
      </w:r>
    </w:p>
    <w:p w14:paraId="3157512B" w14:textId="77777777" w:rsidR="0099737C" w:rsidRDefault="0099737C" w:rsidP="00D01795"/>
    <w:p w14:paraId="71FD3445" w14:textId="1CDB1A83" w:rsidR="0099737C" w:rsidRDefault="00000000" w:rsidP="00D01795">
      <w:hyperlink r:id="rId17" w:history="1">
        <w:r w:rsidR="0099737C" w:rsidRPr="0099737C">
          <w:rPr>
            <w:rStyle w:val="Hyperlink"/>
          </w:rPr>
          <w:t>Full Resource Here</w:t>
        </w:r>
      </w:hyperlink>
    </w:p>
    <w:p w14:paraId="143BADD3" w14:textId="77777777" w:rsidR="00010A85" w:rsidRDefault="00010A85" w:rsidP="00D01795"/>
    <w:p w14:paraId="4FDB75C9" w14:textId="24224378" w:rsidR="0050493E" w:rsidRDefault="0050493E" w:rsidP="00D0179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Focusing on Environmental Responsibility </w:t>
      </w:r>
    </w:p>
    <w:p w14:paraId="2E32F691" w14:textId="1516CB63" w:rsidR="0050493E" w:rsidRDefault="0050493E" w:rsidP="00D01795">
      <w:r>
        <w:t xml:space="preserve">Julie’s Bicycle provides a full resource for embedding Environmental Responsibility into your creative practice. </w:t>
      </w:r>
    </w:p>
    <w:p w14:paraId="62754601" w14:textId="77777777" w:rsidR="0050493E" w:rsidRDefault="0050493E" w:rsidP="00D01795"/>
    <w:p w14:paraId="1530088A" w14:textId="3AC124C4" w:rsidR="00010A85" w:rsidRDefault="00000000" w:rsidP="00D01795">
      <w:hyperlink r:id="rId18" w:anchor=":~:text=Environmental%20Responsibility%20is%20one%20of,thinking%20in%20everything%20they%20do." w:history="1">
        <w:r w:rsidR="0050493E" w:rsidRPr="0050493E">
          <w:rPr>
            <w:rStyle w:val="Hyperlink"/>
          </w:rPr>
          <w:t>Full Resource Here</w:t>
        </w:r>
      </w:hyperlink>
    </w:p>
    <w:p w14:paraId="291BC2D1" w14:textId="77777777" w:rsidR="009D1015" w:rsidRDefault="009D1015" w:rsidP="00D01795"/>
    <w:p w14:paraId="08D721D2" w14:textId="005D5CFA" w:rsidR="009D1015" w:rsidRDefault="009D1015" w:rsidP="00D0179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Focusing on Inclusivity and Relevance </w:t>
      </w:r>
    </w:p>
    <w:p w14:paraId="48F56727" w14:textId="77777777" w:rsidR="001B7E70" w:rsidRDefault="001B7E70" w:rsidP="00D01795">
      <w:r>
        <w:t xml:space="preserve">Personnel Today highlights six key steps for embedding a diversity and inclusion strategy within your organisation. </w:t>
      </w:r>
    </w:p>
    <w:p w14:paraId="091BC373" w14:textId="77777777" w:rsidR="001B7E70" w:rsidRDefault="001B7E70" w:rsidP="00D01795"/>
    <w:p w14:paraId="6A0B3406" w14:textId="77777777" w:rsidR="00F535D6" w:rsidRDefault="00000000" w:rsidP="00D01795">
      <w:hyperlink r:id="rId19" w:history="1">
        <w:r w:rsidR="001B7E70" w:rsidRPr="00F535D6">
          <w:rPr>
            <w:rStyle w:val="Hyperlink"/>
          </w:rPr>
          <w:t>Full Resource Here</w:t>
        </w:r>
      </w:hyperlink>
    </w:p>
    <w:p w14:paraId="283FAB0C" w14:textId="77777777" w:rsidR="009B17DB" w:rsidRDefault="009B17DB" w:rsidP="00D01795"/>
    <w:p w14:paraId="51F0A518" w14:textId="3C096210" w:rsidR="00F535D6" w:rsidRDefault="009B17DB" w:rsidP="00D0179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Focusing on Dynamism</w:t>
      </w:r>
    </w:p>
    <w:p w14:paraId="610C957C" w14:textId="2224000E" w:rsidR="009B17DB" w:rsidRDefault="009B17DB" w:rsidP="00D01795">
      <w:r>
        <w:t>A New Direction spotlights best practice in Dynamism, looking at the Young V&amp;A as a</w:t>
      </w:r>
      <w:r w:rsidR="005D32C0">
        <w:t xml:space="preserve"> model for the sector to learn from. </w:t>
      </w:r>
    </w:p>
    <w:p w14:paraId="061F6A31" w14:textId="77777777" w:rsidR="005D32C0" w:rsidRDefault="005D32C0" w:rsidP="00D01795"/>
    <w:p w14:paraId="02355FBA" w14:textId="0B2B9B31" w:rsidR="005D32C0" w:rsidRDefault="00000000" w:rsidP="00D01795">
      <w:hyperlink r:id="rId20" w:history="1">
        <w:r w:rsidR="00C72734" w:rsidRPr="00C72734">
          <w:rPr>
            <w:rStyle w:val="Hyperlink"/>
          </w:rPr>
          <w:t>Full Resource Here</w:t>
        </w:r>
      </w:hyperlink>
    </w:p>
    <w:p w14:paraId="49452D98" w14:textId="4AD7C014" w:rsidR="009D1015" w:rsidRPr="00C204FC" w:rsidRDefault="001B7E70" w:rsidP="00D01795">
      <w:pPr>
        <w:rPr>
          <w:rFonts w:ascii="Arial" w:hAnsi="Arial" w:cs="Arial"/>
        </w:rPr>
      </w:pPr>
      <w:r>
        <w:t xml:space="preserve"> </w:t>
      </w:r>
    </w:p>
    <w:sectPr w:rsidR="009D1015" w:rsidRPr="00C204FC" w:rsidSect="0011766E">
      <w:head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A66B" w14:textId="77777777" w:rsidR="0011766E" w:rsidRDefault="0011766E" w:rsidP="009A4340">
      <w:r>
        <w:separator/>
      </w:r>
    </w:p>
  </w:endnote>
  <w:endnote w:type="continuationSeparator" w:id="0">
    <w:p w14:paraId="18E15605" w14:textId="77777777" w:rsidR="0011766E" w:rsidRDefault="0011766E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FE9D" w14:textId="77777777" w:rsidR="0011766E" w:rsidRDefault="0011766E" w:rsidP="009A4340">
      <w:r>
        <w:separator/>
      </w:r>
    </w:p>
  </w:footnote>
  <w:footnote w:type="continuationSeparator" w:id="0">
    <w:p w14:paraId="1FED147C" w14:textId="77777777" w:rsidR="0011766E" w:rsidRDefault="0011766E" w:rsidP="009A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C98" w14:textId="788A96A3" w:rsidR="009A4340" w:rsidRDefault="00296E21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06DF09E7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Caus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aus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5A3D59E2" wp14:editId="0F7079BC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rts Council England: Transforming Governance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rts Council England: Transforming Governance Programm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7459C"/>
    <w:multiLevelType w:val="hybridMultilevel"/>
    <w:tmpl w:val="83F2765A"/>
    <w:lvl w:ilvl="0" w:tplc="CF52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83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25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42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03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6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6A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0F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E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1124"/>
    <w:multiLevelType w:val="hybridMultilevel"/>
    <w:tmpl w:val="5426B27E"/>
    <w:lvl w:ilvl="0" w:tplc="3A66C8E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651"/>
    <w:multiLevelType w:val="hybridMultilevel"/>
    <w:tmpl w:val="8B966E36"/>
    <w:lvl w:ilvl="0" w:tplc="AB706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F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1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C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B1B1B"/>
    <w:multiLevelType w:val="hybridMultilevel"/>
    <w:tmpl w:val="0692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917"/>
    <w:multiLevelType w:val="hybridMultilevel"/>
    <w:tmpl w:val="5FEA319C"/>
    <w:lvl w:ilvl="0" w:tplc="941A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E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EC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0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F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1F1C23"/>
    <w:multiLevelType w:val="hybridMultilevel"/>
    <w:tmpl w:val="25D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153DF"/>
    <w:multiLevelType w:val="hybridMultilevel"/>
    <w:tmpl w:val="938A9C66"/>
    <w:lvl w:ilvl="0" w:tplc="9A30C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B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0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0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8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A7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93759E"/>
    <w:multiLevelType w:val="hybridMultilevel"/>
    <w:tmpl w:val="07B2892A"/>
    <w:lvl w:ilvl="0" w:tplc="A598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2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8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E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1155"/>
    <w:multiLevelType w:val="hybridMultilevel"/>
    <w:tmpl w:val="354062D0"/>
    <w:lvl w:ilvl="0" w:tplc="4176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B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D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2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8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0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4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133A74"/>
    <w:multiLevelType w:val="hybridMultilevel"/>
    <w:tmpl w:val="675EEA0A"/>
    <w:lvl w:ilvl="0" w:tplc="3BD6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0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A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6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0A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0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0045BD"/>
    <w:multiLevelType w:val="hybridMultilevel"/>
    <w:tmpl w:val="5D784B94"/>
    <w:lvl w:ilvl="0" w:tplc="E870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C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F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0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E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2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0135A5"/>
    <w:multiLevelType w:val="multilevel"/>
    <w:tmpl w:val="85A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469"/>
    <w:multiLevelType w:val="hybridMultilevel"/>
    <w:tmpl w:val="8E28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C6FF7"/>
    <w:multiLevelType w:val="hybridMultilevel"/>
    <w:tmpl w:val="34C84CD0"/>
    <w:lvl w:ilvl="0" w:tplc="3FA0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CF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6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6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04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A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6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0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6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B44A9E"/>
    <w:multiLevelType w:val="multilevel"/>
    <w:tmpl w:val="C1F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5205">
    <w:abstractNumId w:val="21"/>
  </w:num>
  <w:num w:numId="2" w16cid:durableId="391468303">
    <w:abstractNumId w:val="26"/>
  </w:num>
  <w:num w:numId="3" w16cid:durableId="1553423180">
    <w:abstractNumId w:val="8"/>
  </w:num>
  <w:num w:numId="4" w16cid:durableId="1981424417">
    <w:abstractNumId w:val="0"/>
  </w:num>
  <w:num w:numId="5" w16cid:durableId="114033186">
    <w:abstractNumId w:val="22"/>
  </w:num>
  <w:num w:numId="6" w16cid:durableId="409229602">
    <w:abstractNumId w:val="18"/>
  </w:num>
  <w:num w:numId="7" w16cid:durableId="599725963">
    <w:abstractNumId w:val="17"/>
  </w:num>
  <w:num w:numId="8" w16cid:durableId="613943950">
    <w:abstractNumId w:val="12"/>
  </w:num>
  <w:num w:numId="9" w16cid:durableId="1374580478">
    <w:abstractNumId w:val="7"/>
  </w:num>
  <w:num w:numId="10" w16cid:durableId="2124957045">
    <w:abstractNumId w:val="25"/>
  </w:num>
  <w:num w:numId="11" w16cid:durableId="1011685256">
    <w:abstractNumId w:val="20"/>
  </w:num>
  <w:num w:numId="12" w16cid:durableId="600531416">
    <w:abstractNumId w:val="9"/>
  </w:num>
  <w:num w:numId="13" w16cid:durableId="464542095">
    <w:abstractNumId w:val="11"/>
  </w:num>
  <w:num w:numId="14" w16cid:durableId="629482700">
    <w:abstractNumId w:val="1"/>
  </w:num>
  <w:num w:numId="15" w16cid:durableId="1099569543">
    <w:abstractNumId w:val="24"/>
  </w:num>
  <w:num w:numId="16" w16cid:durableId="1665432906">
    <w:abstractNumId w:val="19"/>
  </w:num>
  <w:num w:numId="17" w16cid:durableId="205483294">
    <w:abstractNumId w:val="6"/>
  </w:num>
  <w:num w:numId="18" w16cid:durableId="963971553">
    <w:abstractNumId w:val="2"/>
  </w:num>
  <w:num w:numId="19" w16cid:durableId="1758094041">
    <w:abstractNumId w:val="23"/>
  </w:num>
  <w:num w:numId="20" w16cid:durableId="649409515">
    <w:abstractNumId w:val="16"/>
  </w:num>
  <w:num w:numId="21" w16cid:durableId="1158883771">
    <w:abstractNumId w:val="4"/>
  </w:num>
  <w:num w:numId="22" w16cid:durableId="1072311339">
    <w:abstractNumId w:val="5"/>
  </w:num>
  <w:num w:numId="23" w16cid:durableId="464661064">
    <w:abstractNumId w:val="13"/>
  </w:num>
  <w:num w:numId="24" w16cid:durableId="1770813687">
    <w:abstractNumId w:val="10"/>
  </w:num>
  <w:num w:numId="25" w16cid:durableId="1366639485">
    <w:abstractNumId w:val="15"/>
  </w:num>
  <w:num w:numId="26" w16cid:durableId="1013145612">
    <w:abstractNumId w:val="3"/>
  </w:num>
  <w:num w:numId="27" w16cid:durableId="1961573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0A85"/>
    <w:rsid w:val="000170CC"/>
    <w:rsid w:val="00024C18"/>
    <w:rsid w:val="000536C9"/>
    <w:rsid w:val="00070D30"/>
    <w:rsid w:val="000771B6"/>
    <w:rsid w:val="000F18EB"/>
    <w:rsid w:val="00110D42"/>
    <w:rsid w:val="0011766E"/>
    <w:rsid w:val="00125C9A"/>
    <w:rsid w:val="00131ADC"/>
    <w:rsid w:val="00176D02"/>
    <w:rsid w:val="00182E90"/>
    <w:rsid w:val="001A505E"/>
    <w:rsid w:val="001B7E70"/>
    <w:rsid w:val="001C6927"/>
    <w:rsid w:val="001D112E"/>
    <w:rsid w:val="001F4252"/>
    <w:rsid w:val="001F7ACC"/>
    <w:rsid w:val="0020218A"/>
    <w:rsid w:val="0024172E"/>
    <w:rsid w:val="002676A3"/>
    <w:rsid w:val="002905E1"/>
    <w:rsid w:val="00296E21"/>
    <w:rsid w:val="002D7303"/>
    <w:rsid w:val="002E6D03"/>
    <w:rsid w:val="00355D2E"/>
    <w:rsid w:val="003639AA"/>
    <w:rsid w:val="003728D7"/>
    <w:rsid w:val="003B5F0E"/>
    <w:rsid w:val="003D6625"/>
    <w:rsid w:val="003E1DB7"/>
    <w:rsid w:val="00420F72"/>
    <w:rsid w:val="00436E21"/>
    <w:rsid w:val="00455DCE"/>
    <w:rsid w:val="0046720C"/>
    <w:rsid w:val="004B3D45"/>
    <w:rsid w:val="004C735F"/>
    <w:rsid w:val="004F3E31"/>
    <w:rsid w:val="0050493E"/>
    <w:rsid w:val="005155E6"/>
    <w:rsid w:val="00516F23"/>
    <w:rsid w:val="00531E05"/>
    <w:rsid w:val="00534696"/>
    <w:rsid w:val="005451E8"/>
    <w:rsid w:val="00565279"/>
    <w:rsid w:val="005805C1"/>
    <w:rsid w:val="00585528"/>
    <w:rsid w:val="005A579E"/>
    <w:rsid w:val="005C3ADC"/>
    <w:rsid w:val="005D32C0"/>
    <w:rsid w:val="005F177F"/>
    <w:rsid w:val="006016F9"/>
    <w:rsid w:val="00602393"/>
    <w:rsid w:val="006260B8"/>
    <w:rsid w:val="00662009"/>
    <w:rsid w:val="00666130"/>
    <w:rsid w:val="00676511"/>
    <w:rsid w:val="0069419B"/>
    <w:rsid w:val="006C1435"/>
    <w:rsid w:val="006D59E0"/>
    <w:rsid w:val="006E49CD"/>
    <w:rsid w:val="0072203D"/>
    <w:rsid w:val="007513A0"/>
    <w:rsid w:val="00755C35"/>
    <w:rsid w:val="007777BB"/>
    <w:rsid w:val="007E015B"/>
    <w:rsid w:val="00815BC7"/>
    <w:rsid w:val="00832531"/>
    <w:rsid w:val="0083542B"/>
    <w:rsid w:val="008434DF"/>
    <w:rsid w:val="00863CD5"/>
    <w:rsid w:val="008777DF"/>
    <w:rsid w:val="00881154"/>
    <w:rsid w:val="008A0C41"/>
    <w:rsid w:val="008D0F85"/>
    <w:rsid w:val="008E3153"/>
    <w:rsid w:val="00904BEC"/>
    <w:rsid w:val="00924633"/>
    <w:rsid w:val="00927C9A"/>
    <w:rsid w:val="009578A2"/>
    <w:rsid w:val="00964629"/>
    <w:rsid w:val="00973803"/>
    <w:rsid w:val="00982E3D"/>
    <w:rsid w:val="00991E66"/>
    <w:rsid w:val="0099737C"/>
    <w:rsid w:val="009A4340"/>
    <w:rsid w:val="009B17DB"/>
    <w:rsid w:val="009B5A0B"/>
    <w:rsid w:val="009C4388"/>
    <w:rsid w:val="009D1015"/>
    <w:rsid w:val="009D6982"/>
    <w:rsid w:val="009F33E7"/>
    <w:rsid w:val="00A15A41"/>
    <w:rsid w:val="00A37D72"/>
    <w:rsid w:val="00A41390"/>
    <w:rsid w:val="00A64527"/>
    <w:rsid w:val="00A83964"/>
    <w:rsid w:val="00A844BD"/>
    <w:rsid w:val="00AF0C8D"/>
    <w:rsid w:val="00B11890"/>
    <w:rsid w:val="00B24493"/>
    <w:rsid w:val="00B46E52"/>
    <w:rsid w:val="00B913E8"/>
    <w:rsid w:val="00BA5415"/>
    <w:rsid w:val="00BA5A49"/>
    <w:rsid w:val="00BB198E"/>
    <w:rsid w:val="00BB459F"/>
    <w:rsid w:val="00BB7C43"/>
    <w:rsid w:val="00BC69E1"/>
    <w:rsid w:val="00BD1BB0"/>
    <w:rsid w:val="00C204FC"/>
    <w:rsid w:val="00C529DC"/>
    <w:rsid w:val="00C55345"/>
    <w:rsid w:val="00C72734"/>
    <w:rsid w:val="00C80DA2"/>
    <w:rsid w:val="00CE6D4B"/>
    <w:rsid w:val="00D01795"/>
    <w:rsid w:val="00D12A73"/>
    <w:rsid w:val="00D57CE6"/>
    <w:rsid w:val="00E2607C"/>
    <w:rsid w:val="00E6558A"/>
    <w:rsid w:val="00E720E8"/>
    <w:rsid w:val="00E84219"/>
    <w:rsid w:val="00E93BA8"/>
    <w:rsid w:val="00EC1BD9"/>
    <w:rsid w:val="00EE2ABB"/>
    <w:rsid w:val="00F22A0B"/>
    <w:rsid w:val="00F34F11"/>
    <w:rsid w:val="00F5342B"/>
    <w:rsid w:val="00F535D6"/>
    <w:rsid w:val="00F552CC"/>
    <w:rsid w:val="00F60EAB"/>
    <w:rsid w:val="00F80EBB"/>
    <w:rsid w:val="00F82BC4"/>
    <w:rsid w:val="00F968D0"/>
    <w:rsid w:val="00FA58E6"/>
    <w:rsid w:val="00FB4789"/>
    <w:rsid w:val="00FE369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77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20218A"/>
  </w:style>
  <w:style w:type="paragraph" w:styleId="ListParagraph">
    <w:name w:val="List Paragraph"/>
    <w:basedOn w:val="Normal"/>
    <w:uiPriority w:val="34"/>
    <w:qFormat/>
    <w:rsid w:val="003639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E2607C"/>
    <w:rPr>
      <w:i/>
      <w:iCs/>
    </w:rPr>
  </w:style>
  <w:style w:type="character" w:styleId="Strong">
    <w:name w:val="Strong"/>
    <w:basedOn w:val="DefaultParagraphFont"/>
    <w:uiPriority w:val="22"/>
    <w:qFormat/>
    <w:rsid w:val="00BB459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0F72"/>
    <w:rPr>
      <w:kern w:val="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F72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420F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0F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6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204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04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3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62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cat.co.uk/blog/unravelling-the-mysteries-of-the-arts-council-investment-principles" TargetMode="External"/><Relationship Id="rId18" Type="http://schemas.openxmlformats.org/officeDocument/2006/relationships/hyperlink" Target="https://juliesbicycle.com/news-opinion/ace-environmental-programme-23-26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artscouncil.org.uk/governance-working-investment-principles" TargetMode="External"/><Relationship Id="rId17" Type="http://schemas.openxmlformats.org/officeDocument/2006/relationships/hyperlink" Target="https://impactandinsight.co.uk/ambition-quality-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pacampaign.org/resource/embedding-aces-investment-principles-with-pipa" TargetMode="External"/><Relationship Id="rId20" Type="http://schemas.openxmlformats.org/officeDocument/2006/relationships/hyperlink" Target="https://www.anewdirection.org.uk/training-cpd/principles-into-practice/dynamism/case-study-young-v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professional.co.uk/magazine/article/introducing-aces-new-investment-principl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rtscouncil.org.uk/blog/evaluating-your-way-through-investment-princip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tscouncil.org.uk/lets-create/strategy-2020-2030/investment-principles" TargetMode="External"/><Relationship Id="rId19" Type="http://schemas.openxmlformats.org/officeDocument/2006/relationships/hyperlink" Target="https://www.personneltoday.com/hr/six-steps-to-embedding-a-diversity-and-inclusion-strateg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newdirection.org.uk/training-cpd/principles-into-practic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4" ma:contentTypeDescription="Create a new document." ma:contentTypeScope="" ma:versionID="b3520076311ed22e1d12142e5075c7f4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7796ff2c34f60fb2e6ba6a7df16f588b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customXml/itemProps3.xml><?xml version="1.0" encoding="utf-8"?>
<ds:datastoreItem xmlns:ds="http://schemas.openxmlformats.org/officeDocument/2006/customXml" ds:itemID="{BBEC86D8-E158-4EA2-813B-254D2AF30A56}"/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Annie Jarvis</cp:lastModifiedBy>
  <cp:revision>22</cp:revision>
  <dcterms:created xsi:type="dcterms:W3CDTF">2023-12-18T09:27:00Z</dcterms:created>
  <dcterms:modified xsi:type="dcterms:W3CDTF">2024-01-03T10:41:00Z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