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77777777" w:rsidR="009A4340" w:rsidRPr="000536C9" w:rsidRDefault="009A4340" w:rsidP="00131ADC">
      <w:pPr>
        <w:pStyle w:val="Title"/>
      </w:pPr>
    </w:p>
    <w:p w14:paraId="0EECEAE3" w14:textId="77777777" w:rsidR="00BD1BB0" w:rsidRDefault="009A4340" w:rsidP="00436E21">
      <w:pPr>
        <w:pStyle w:val="Title"/>
        <w:rPr>
          <w:color w:val="323E4F" w:themeColor="text2" w:themeShade="BF"/>
          <w:sz w:val="52"/>
          <w:szCs w:val="52"/>
        </w:rPr>
      </w:pPr>
      <w:r w:rsidRPr="00FE3699">
        <w:rPr>
          <w:color w:val="323E4F" w:themeColor="text2" w:themeShade="BF"/>
          <w:sz w:val="52"/>
          <w:szCs w:val="52"/>
        </w:rPr>
        <w:t>Transforming Governance Resources</w:t>
      </w:r>
    </w:p>
    <w:p w14:paraId="1F7A3032" w14:textId="2D97BF50" w:rsidR="00FE3699" w:rsidRPr="00FE3699" w:rsidRDefault="00FF6321" w:rsidP="00FE3699">
      <w:r>
        <w:rPr>
          <w:noProof/>
        </w:rPr>
      </w:r>
      <w:r w:rsidR="00FF6321">
        <w:rPr>
          <w:noProof/>
        </w:rPr>
        <w:pict w14:anchorId="31932F0A">
          <v:rect id="_x0000_i1025" alt="" style="width:451.3pt;height:.05pt;mso-width-percent:0;mso-height-percent:0;mso-width-percent:0;mso-height-percent:0" o:hralign="center" o:hrstd="t" o:hr="t" fillcolor="#a0a0a0" stroked="f"/>
        </w:pict>
      </w:r>
    </w:p>
    <w:p w14:paraId="7D998056" w14:textId="77777777" w:rsidR="00BB198E" w:rsidRPr="00FE3699" w:rsidRDefault="00BB198E" w:rsidP="00BB198E">
      <w:pPr>
        <w:rPr>
          <w:rFonts w:ascii="Arial" w:hAnsi="Arial" w:cs="Arial"/>
          <w:sz w:val="8"/>
          <w:szCs w:val="8"/>
        </w:rPr>
      </w:pPr>
    </w:p>
    <w:p w14:paraId="1DDB7729" w14:textId="19047240" w:rsidR="00602393" w:rsidRDefault="00BB198E" w:rsidP="00BB198E">
      <w:pPr>
        <w:rPr>
          <w:rFonts w:ascii="Arial" w:hAnsi="Arial" w:cs="Arial"/>
          <w:sz w:val="22"/>
          <w:szCs w:val="22"/>
        </w:rPr>
      </w:pPr>
      <w:r w:rsidRPr="00FE3699">
        <w:rPr>
          <w:rFonts w:ascii="Arial" w:hAnsi="Arial" w:cs="Arial"/>
          <w:sz w:val="22"/>
          <w:szCs w:val="22"/>
        </w:rPr>
        <w:t xml:space="preserve">The following document provides a series of resources for participants of the Transforming Governance Programme. </w:t>
      </w:r>
    </w:p>
    <w:p w14:paraId="1FB39948" w14:textId="77777777" w:rsidR="009C4388" w:rsidRPr="00FE3699" w:rsidRDefault="009C4388" w:rsidP="00BB198E">
      <w:pPr>
        <w:rPr>
          <w:rFonts w:ascii="Arial" w:hAnsi="Arial" w:cs="Arial"/>
          <w:sz w:val="22"/>
          <w:szCs w:val="22"/>
        </w:rPr>
      </w:pPr>
    </w:p>
    <w:p w14:paraId="795004BC" w14:textId="77777777" w:rsidR="00BA5A49" w:rsidRPr="00FE3699" w:rsidRDefault="00BA5A49" w:rsidP="00FE3699">
      <w:pPr>
        <w:pStyle w:val="Heading1"/>
        <w:rPr>
          <w:b/>
          <w:bCs/>
          <w:color w:val="44546A" w:themeColor="text2"/>
          <w:sz w:val="28"/>
          <w:szCs w:val="28"/>
        </w:rPr>
      </w:pPr>
      <w:r w:rsidRPr="00FE3699">
        <w:rPr>
          <w:b/>
          <w:bCs/>
          <w:color w:val="44546A" w:themeColor="text2"/>
          <w:sz w:val="28"/>
          <w:szCs w:val="28"/>
        </w:rPr>
        <w:t>Leading and Overseeing Strategy</w:t>
      </w:r>
    </w:p>
    <w:p w14:paraId="4B5626A1" w14:textId="73E85DC6" w:rsidR="00BA5A49" w:rsidRPr="003728D7" w:rsidRDefault="005F177F" w:rsidP="00BA5A49">
      <w:pPr>
        <w:rPr>
          <w:rFonts w:ascii="ArialMT" w:hAnsi="ArialMT"/>
          <w:sz w:val="22"/>
          <w:szCs w:val="22"/>
        </w:rPr>
      </w:pPr>
      <w:r>
        <w:rPr>
          <w:rFonts w:ascii="ArialMT" w:hAnsi="ArialMT"/>
          <w:sz w:val="22"/>
          <w:szCs w:val="22"/>
        </w:rPr>
        <w:t>This module provides</w:t>
      </w:r>
      <w:r w:rsidR="004F3E31">
        <w:rPr>
          <w:rFonts w:ascii="ArialMT" w:hAnsi="ArialMT"/>
          <w:sz w:val="22"/>
          <w:szCs w:val="22"/>
        </w:rPr>
        <w:t xml:space="preserve"> </w:t>
      </w:r>
      <w:r>
        <w:rPr>
          <w:rFonts w:ascii="ArialMT" w:hAnsi="ArialMT"/>
          <w:sz w:val="22"/>
          <w:szCs w:val="22"/>
        </w:rPr>
        <w:t xml:space="preserve">an overview of </w:t>
      </w:r>
      <w:r w:rsidR="00BA5A49">
        <w:rPr>
          <w:rFonts w:ascii="ArialMT" w:hAnsi="ArialMT"/>
          <w:sz w:val="22"/>
          <w:szCs w:val="22"/>
        </w:rPr>
        <w:t xml:space="preserve">how to guide and monitor the strategic direction of an organisation. </w:t>
      </w:r>
      <w:r w:rsidR="003728D7">
        <w:rPr>
          <w:rFonts w:ascii="ArialMT" w:hAnsi="ArialMT"/>
          <w:sz w:val="22"/>
          <w:szCs w:val="22"/>
        </w:rPr>
        <w:t xml:space="preserve">It explores a </w:t>
      </w:r>
      <w:r w:rsidR="003728D7" w:rsidRPr="003728D7">
        <w:rPr>
          <w:rFonts w:ascii="ArialMT" w:hAnsi="ArialMT"/>
          <w:sz w:val="22"/>
          <w:szCs w:val="22"/>
        </w:rPr>
        <w:t>Board’s role in shaping organisational vision</w:t>
      </w:r>
      <w:r w:rsidR="003728D7">
        <w:rPr>
          <w:rFonts w:ascii="ArialMT" w:hAnsi="ArialMT"/>
          <w:sz w:val="22"/>
          <w:szCs w:val="22"/>
        </w:rPr>
        <w:t>; a</w:t>
      </w:r>
      <w:r w:rsidR="003728D7" w:rsidRPr="003728D7">
        <w:rPr>
          <w:rFonts w:ascii="ArialMT" w:hAnsi="ArialMT"/>
          <w:sz w:val="22"/>
          <w:szCs w:val="22"/>
        </w:rPr>
        <w:t>pproaches to strategy planning and decision-making</w:t>
      </w:r>
      <w:r w:rsidR="003728D7">
        <w:rPr>
          <w:rFonts w:ascii="ArialMT" w:hAnsi="ArialMT"/>
          <w:sz w:val="22"/>
          <w:szCs w:val="22"/>
        </w:rPr>
        <w:t xml:space="preserve">, and routes to future sustainability. </w:t>
      </w:r>
    </w:p>
    <w:p w14:paraId="19DC79B0" w14:textId="77777777" w:rsidR="004C735F" w:rsidRPr="00A15A41" w:rsidRDefault="004C735F" w:rsidP="00BB459F">
      <w:pPr>
        <w:rPr>
          <w:rFonts w:ascii="Arial" w:hAnsi="Arial" w:cs="Arial"/>
        </w:rPr>
      </w:pPr>
    </w:p>
    <w:p w14:paraId="580C98C5" w14:textId="45D2A84D" w:rsidR="00BA5415" w:rsidRDefault="00BA5415" w:rsidP="002E6D03">
      <w:pPr>
        <w:pStyle w:val="Heading2"/>
        <w:rPr>
          <w:b/>
          <w:bCs/>
          <w:color w:val="4472C4" w:themeColor="accent1"/>
        </w:rPr>
      </w:pPr>
      <w:r>
        <w:rPr>
          <w:b/>
          <w:bCs/>
          <w:color w:val="4472C4" w:themeColor="accent1"/>
        </w:rPr>
        <w:t xml:space="preserve">Creating </w:t>
      </w:r>
      <w:r w:rsidR="005451E8">
        <w:rPr>
          <w:b/>
          <w:bCs/>
          <w:color w:val="4472C4" w:themeColor="accent1"/>
        </w:rPr>
        <w:t>Your</w:t>
      </w:r>
      <w:r>
        <w:rPr>
          <w:b/>
          <w:bCs/>
          <w:color w:val="4472C4" w:themeColor="accent1"/>
        </w:rPr>
        <w:t xml:space="preserve"> Vision and Mission</w:t>
      </w:r>
    </w:p>
    <w:p w14:paraId="1BD869E2" w14:textId="572AF937" w:rsidR="00BA5415" w:rsidRDefault="00BA5415" w:rsidP="002E6D03">
      <w:pPr>
        <w:pStyle w:val="Heading2"/>
        <w:rPr>
          <w:rFonts w:asciiTheme="minorHAnsi" w:hAnsiTheme="minorHAnsi" w:cstheme="minorHAnsi"/>
          <w:color w:val="auto"/>
          <w:sz w:val="22"/>
          <w:szCs w:val="22"/>
        </w:rPr>
      </w:pPr>
      <w:r w:rsidRPr="00676511">
        <w:rPr>
          <w:rFonts w:asciiTheme="minorHAnsi" w:hAnsiTheme="minorHAnsi" w:cstheme="minorHAnsi"/>
          <w:color w:val="auto"/>
          <w:sz w:val="22"/>
          <w:szCs w:val="22"/>
        </w:rPr>
        <w:t xml:space="preserve">This guide </w:t>
      </w:r>
      <w:r w:rsidR="005451E8">
        <w:rPr>
          <w:rFonts w:asciiTheme="minorHAnsi" w:hAnsiTheme="minorHAnsi" w:cstheme="minorHAnsi"/>
          <w:color w:val="auto"/>
          <w:sz w:val="22"/>
          <w:szCs w:val="22"/>
        </w:rPr>
        <w:t xml:space="preserve">by Charity Excellence Framework </w:t>
      </w:r>
      <w:r w:rsidRPr="00676511">
        <w:rPr>
          <w:rFonts w:asciiTheme="minorHAnsi" w:hAnsiTheme="minorHAnsi" w:cstheme="minorHAnsi"/>
          <w:color w:val="auto"/>
          <w:sz w:val="22"/>
          <w:szCs w:val="22"/>
        </w:rPr>
        <w:t>provides information on how to create a compelling vision and mission for your organisation</w:t>
      </w:r>
      <w:r w:rsidR="00676511" w:rsidRPr="00676511">
        <w:rPr>
          <w:rFonts w:asciiTheme="minorHAnsi" w:hAnsiTheme="minorHAnsi" w:cstheme="minorHAnsi"/>
          <w:color w:val="auto"/>
          <w:sz w:val="22"/>
          <w:szCs w:val="22"/>
        </w:rPr>
        <w:t xml:space="preserve">, including templates and examples of best practice. </w:t>
      </w:r>
    </w:p>
    <w:p w14:paraId="3AE3653B" w14:textId="77777777" w:rsidR="00676511" w:rsidRPr="00676511" w:rsidRDefault="00676511" w:rsidP="00676511">
      <w:pPr>
        <w:rPr>
          <w:rFonts w:cstheme="minorHAnsi"/>
          <w:sz w:val="22"/>
          <w:szCs w:val="22"/>
        </w:rPr>
      </w:pPr>
    </w:p>
    <w:p w14:paraId="2237962A" w14:textId="15FEB768" w:rsidR="00676511" w:rsidRDefault="00676511" w:rsidP="00676511">
      <w:pPr>
        <w:rPr>
          <w:rFonts w:cstheme="minorHAnsi"/>
          <w:sz w:val="22"/>
          <w:szCs w:val="22"/>
        </w:rPr>
      </w:pPr>
      <w:hyperlink r:id="rId10" w:anchor=":~:text=First%2C%20think%20about%20what%20organisational,you%20believe%20it%20should%20be." w:history="1">
        <w:r w:rsidRPr="00676511">
          <w:rPr>
            <w:rStyle w:val="Hyperlink"/>
            <w:rFonts w:cstheme="minorHAnsi"/>
            <w:color w:val="auto"/>
            <w:sz w:val="22"/>
            <w:szCs w:val="22"/>
          </w:rPr>
          <w:t>Full Resource Here</w:t>
        </w:r>
      </w:hyperlink>
      <w:r w:rsidRPr="00676511">
        <w:rPr>
          <w:rFonts w:cstheme="minorHAnsi"/>
          <w:sz w:val="22"/>
          <w:szCs w:val="22"/>
        </w:rPr>
        <w:t xml:space="preserve"> </w:t>
      </w:r>
    </w:p>
    <w:p w14:paraId="1FBA0A5E" w14:textId="77777777" w:rsidR="005451E8" w:rsidRDefault="005451E8" w:rsidP="00676511">
      <w:pPr>
        <w:rPr>
          <w:rFonts w:cstheme="minorHAnsi"/>
          <w:sz w:val="22"/>
          <w:szCs w:val="22"/>
        </w:rPr>
      </w:pPr>
    </w:p>
    <w:p w14:paraId="29C46149" w14:textId="45FA7961" w:rsidR="005451E8" w:rsidRDefault="005451E8" w:rsidP="00676511">
      <w:pPr>
        <w:rPr>
          <w:rFonts w:cstheme="minorHAnsi"/>
          <w:sz w:val="22"/>
          <w:szCs w:val="22"/>
        </w:rPr>
      </w:pPr>
      <w:r>
        <w:rPr>
          <w:rFonts w:cstheme="minorHAnsi"/>
          <w:sz w:val="22"/>
          <w:szCs w:val="22"/>
        </w:rPr>
        <w:t xml:space="preserve">This guide from Donorbox provides detail on the key difference between a vision and </w:t>
      </w:r>
      <w:proofErr w:type="gramStart"/>
      <w:r>
        <w:rPr>
          <w:rFonts w:cstheme="minorHAnsi"/>
          <w:sz w:val="22"/>
          <w:szCs w:val="22"/>
        </w:rPr>
        <w:t>mission</w:t>
      </w:r>
      <w:r w:rsidR="00531E05">
        <w:rPr>
          <w:rFonts w:cstheme="minorHAnsi"/>
          <w:sz w:val="22"/>
          <w:szCs w:val="22"/>
        </w:rPr>
        <w:t>, and</w:t>
      </w:r>
      <w:proofErr w:type="gramEnd"/>
      <w:r w:rsidR="00531E05">
        <w:rPr>
          <w:rFonts w:cstheme="minorHAnsi"/>
          <w:sz w:val="22"/>
          <w:szCs w:val="22"/>
        </w:rPr>
        <w:t xml:space="preserve"> gives examples of best practice and a step-by-step process for developing your own. </w:t>
      </w:r>
    </w:p>
    <w:p w14:paraId="27D852C5" w14:textId="77777777" w:rsidR="00531E05" w:rsidRDefault="00531E05" w:rsidP="00676511">
      <w:pPr>
        <w:rPr>
          <w:rFonts w:cstheme="minorHAnsi"/>
          <w:sz w:val="22"/>
          <w:szCs w:val="22"/>
        </w:rPr>
      </w:pPr>
    </w:p>
    <w:p w14:paraId="6A1DC494" w14:textId="0C4F24E0" w:rsidR="00531E05" w:rsidRPr="00676511" w:rsidRDefault="00531E05" w:rsidP="00676511">
      <w:pPr>
        <w:rPr>
          <w:rFonts w:cstheme="minorHAnsi"/>
          <w:sz w:val="22"/>
          <w:szCs w:val="22"/>
        </w:rPr>
      </w:pPr>
      <w:hyperlink r:id="rId11" w:history="1">
        <w:r w:rsidRPr="00531E05">
          <w:rPr>
            <w:rStyle w:val="Hyperlink"/>
            <w:rFonts w:cstheme="minorHAnsi"/>
            <w:sz w:val="22"/>
            <w:szCs w:val="22"/>
          </w:rPr>
          <w:t>Full Resource Here</w:t>
        </w:r>
      </w:hyperlink>
    </w:p>
    <w:p w14:paraId="6155F728" w14:textId="77777777" w:rsidR="00BA5415" w:rsidRPr="00BA5415" w:rsidRDefault="00BA5415" w:rsidP="00BA5415"/>
    <w:p w14:paraId="4C4F132C" w14:textId="4BF16A65" w:rsidR="00C529DC" w:rsidRDefault="00C529DC" w:rsidP="002E6D03">
      <w:pPr>
        <w:pStyle w:val="Heading2"/>
        <w:rPr>
          <w:b/>
          <w:bCs/>
          <w:color w:val="4472C4" w:themeColor="accent1"/>
        </w:rPr>
      </w:pPr>
      <w:r>
        <w:rPr>
          <w:b/>
          <w:bCs/>
          <w:color w:val="4472C4" w:themeColor="accent1"/>
        </w:rPr>
        <w:t>Creating a Business Plan</w:t>
      </w:r>
    </w:p>
    <w:p w14:paraId="0BD2CC7B" w14:textId="2DB97073" w:rsidR="00C529DC" w:rsidRPr="002905E1" w:rsidRDefault="00C529DC" w:rsidP="002E6D03">
      <w:pPr>
        <w:pStyle w:val="Heading2"/>
        <w:rPr>
          <w:rFonts w:asciiTheme="minorHAnsi" w:hAnsiTheme="minorHAnsi" w:cstheme="minorHAnsi"/>
          <w:color w:val="auto"/>
          <w:sz w:val="22"/>
          <w:szCs w:val="22"/>
        </w:rPr>
      </w:pPr>
      <w:r w:rsidRPr="002905E1">
        <w:rPr>
          <w:rFonts w:asciiTheme="minorHAnsi" w:hAnsiTheme="minorHAnsi" w:cstheme="minorHAnsi"/>
          <w:color w:val="auto"/>
          <w:sz w:val="22"/>
          <w:szCs w:val="22"/>
        </w:rPr>
        <w:t>This guide from National Lottery Heritage Fund provides a comprehensive overview for how to develop a business plan</w:t>
      </w:r>
      <w:r w:rsidR="002905E1" w:rsidRPr="002905E1">
        <w:rPr>
          <w:rFonts w:asciiTheme="minorHAnsi" w:hAnsiTheme="minorHAnsi" w:cstheme="minorHAnsi"/>
          <w:color w:val="auto"/>
          <w:sz w:val="22"/>
          <w:szCs w:val="22"/>
        </w:rPr>
        <w:t xml:space="preserve">, including the steps you should take, and the key ingredients for success. </w:t>
      </w:r>
    </w:p>
    <w:p w14:paraId="49B598DD" w14:textId="77777777" w:rsidR="002905E1" w:rsidRPr="002905E1" w:rsidRDefault="002905E1" w:rsidP="002905E1">
      <w:pPr>
        <w:rPr>
          <w:rFonts w:cstheme="minorHAnsi"/>
          <w:sz w:val="22"/>
          <w:szCs w:val="22"/>
        </w:rPr>
      </w:pPr>
    </w:p>
    <w:p w14:paraId="281039E6" w14:textId="28289C68" w:rsidR="002905E1" w:rsidRPr="002905E1" w:rsidRDefault="002905E1" w:rsidP="002905E1">
      <w:pPr>
        <w:rPr>
          <w:rFonts w:cstheme="minorHAnsi"/>
          <w:sz w:val="22"/>
          <w:szCs w:val="22"/>
        </w:rPr>
      </w:pPr>
      <w:hyperlink r:id="rId12" w:history="1">
        <w:r w:rsidRPr="002905E1">
          <w:rPr>
            <w:rStyle w:val="Hyperlink"/>
            <w:rFonts w:cstheme="minorHAnsi"/>
            <w:color w:val="auto"/>
            <w:sz w:val="22"/>
            <w:szCs w:val="22"/>
          </w:rPr>
          <w:t>Full Resource Here</w:t>
        </w:r>
      </w:hyperlink>
    </w:p>
    <w:p w14:paraId="1FB96853" w14:textId="77777777" w:rsidR="00C529DC" w:rsidRDefault="00C529DC" w:rsidP="00C529DC"/>
    <w:p w14:paraId="66899AD3" w14:textId="77777777" w:rsidR="002905E1" w:rsidRPr="00B24493" w:rsidRDefault="002905E1" w:rsidP="002905E1">
      <w:pPr>
        <w:pStyle w:val="Heading2"/>
        <w:rPr>
          <w:b/>
          <w:bCs/>
          <w:color w:val="4472C4" w:themeColor="accent1"/>
        </w:rPr>
      </w:pPr>
      <w:r w:rsidRPr="00B24493">
        <w:rPr>
          <w:b/>
          <w:bCs/>
          <w:color w:val="4472C4" w:themeColor="accent1"/>
        </w:rPr>
        <w:t xml:space="preserve">How to Create a SWOT Analysis </w:t>
      </w:r>
    </w:p>
    <w:p w14:paraId="48058FCE" w14:textId="77777777" w:rsidR="002905E1" w:rsidRPr="002E6D03" w:rsidRDefault="002905E1" w:rsidP="002905E1">
      <w:pPr>
        <w:rPr>
          <w:rFonts w:ascii="Arial" w:hAnsi="Arial" w:cs="Arial"/>
          <w:sz w:val="22"/>
          <w:szCs w:val="22"/>
          <w:lang w:eastAsia="en-GB"/>
        </w:rPr>
      </w:pPr>
      <w:r w:rsidRPr="002E6D03">
        <w:rPr>
          <w:rFonts w:ascii="Arial" w:hAnsi="Arial" w:cs="Arial"/>
          <w:sz w:val="22"/>
          <w:szCs w:val="22"/>
          <w:lang w:eastAsia="en-GB"/>
        </w:rPr>
        <w:t>A SWOT analysis examines external opportunities and threats along with internal factors, like your charity’s strengths and weaknesses.</w:t>
      </w:r>
    </w:p>
    <w:p w14:paraId="186AB50B" w14:textId="77777777" w:rsidR="002905E1" w:rsidRPr="002E6D03" w:rsidRDefault="002905E1" w:rsidP="002905E1">
      <w:pPr>
        <w:rPr>
          <w:rFonts w:ascii="Arial" w:hAnsi="Arial" w:cs="Arial"/>
          <w:sz w:val="22"/>
          <w:szCs w:val="22"/>
          <w:lang w:eastAsia="en-GB"/>
        </w:rPr>
      </w:pPr>
    </w:p>
    <w:p w14:paraId="50B02D5A" w14:textId="77777777" w:rsidR="002905E1" w:rsidRPr="002E6D03" w:rsidRDefault="002905E1" w:rsidP="002905E1">
      <w:pPr>
        <w:rPr>
          <w:rFonts w:ascii="Arial" w:hAnsi="Arial" w:cs="Arial"/>
          <w:sz w:val="22"/>
          <w:szCs w:val="22"/>
          <w:lang w:eastAsia="en-GB"/>
        </w:rPr>
      </w:pPr>
      <w:r w:rsidRPr="002E6D03">
        <w:rPr>
          <w:rFonts w:ascii="Arial" w:hAnsi="Arial" w:cs="Arial"/>
          <w:sz w:val="22"/>
          <w:szCs w:val="22"/>
          <w:lang w:eastAsia="en-GB"/>
        </w:rPr>
        <w:t>This article shares how to do a SWOT analysis, a detailed example, and how the takeaways can be worked upon.</w:t>
      </w:r>
    </w:p>
    <w:p w14:paraId="11C8C50B" w14:textId="77777777" w:rsidR="002905E1" w:rsidRPr="002E6D03" w:rsidRDefault="002905E1" w:rsidP="002905E1">
      <w:pPr>
        <w:rPr>
          <w:rFonts w:ascii="Arial" w:hAnsi="Arial" w:cs="Arial"/>
          <w:sz w:val="22"/>
          <w:szCs w:val="22"/>
          <w:lang w:eastAsia="en-GB"/>
        </w:rPr>
      </w:pPr>
    </w:p>
    <w:p w14:paraId="5E3BE753" w14:textId="77777777" w:rsidR="002905E1" w:rsidRPr="002E6D03" w:rsidRDefault="002905E1" w:rsidP="002905E1">
      <w:pPr>
        <w:rPr>
          <w:rFonts w:ascii="Arial" w:hAnsi="Arial" w:cs="Arial"/>
          <w:sz w:val="22"/>
          <w:szCs w:val="22"/>
        </w:rPr>
      </w:pPr>
      <w:hyperlink r:id="rId13" w:history="1">
        <w:r w:rsidRPr="002E6D03">
          <w:rPr>
            <w:rStyle w:val="Hyperlink"/>
            <w:rFonts w:ascii="Arial" w:hAnsi="Arial" w:cs="Arial"/>
            <w:color w:val="auto"/>
            <w:sz w:val="22"/>
            <w:szCs w:val="22"/>
          </w:rPr>
          <w:t>Full Resource Here</w:t>
        </w:r>
      </w:hyperlink>
    </w:p>
    <w:p w14:paraId="1237C120" w14:textId="77777777" w:rsidR="00C529DC" w:rsidRPr="00C529DC" w:rsidRDefault="00C529DC" w:rsidP="00C529DC"/>
    <w:p w14:paraId="0ACE32F4" w14:textId="078B734C" w:rsidR="00A41390" w:rsidRPr="002E6D03" w:rsidRDefault="00A41390" w:rsidP="002E6D03">
      <w:pPr>
        <w:pStyle w:val="Heading2"/>
        <w:rPr>
          <w:b/>
          <w:bCs/>
          <w:color w:val="4472C4" w:themeColor="accent1"/>
        </w:rPr>
      </w:pPr>
      <w:r w:rsidRPr="002E6D03">
        <w:rPr>
          <w:b/>
          <w:bCs/>
          <w:color w:val="4472C4" w:themeColor="accent1"/>
        </w:rPr>
        <w:t xml:space="preserve">SWOT </w:t>
      </w:r>
      <w:r w:rsidR="002E6D03">
        <w:rPr>
          <w:b/>
          <w:bCs/>
          <w:color w:val="4472C4" w:themeColor="accent1"/>
        </w:rPr>
        <w:t>and</w:t>
      </w:r>
      <w:r w:rsidRPr="002E6D03">
        <w:rPr>
          <w:b/>
          <w:bCs/>
          <w:color w:val="4472C4" w:themeColor="accent1"/>
        </w:rPr>
        <w:t xml:space="preserve"> PESTLE</w:t>
      </w:r>
    </w:p>
    <w:p w14:paraId="0A973F88" w14:textId="5E5C60C7" w:rsidR="00C55345" w:rsidRPr="002E6D03" w:rsidRDefault="00C55345" w:rsidP="00BB459F">
      <w:pPr>
        <w:rPr>
          <w:rFonts w:ascii="Arial" w:hAnsi="Arial" w:cs="Arial"/>
          <w:sz w:val="22"/>
          <w:szCs w:val="22"/>
        </w:rPr>
      </w:pPr>
      <w:r w:rsidRPr="002E6D03">
        <w:rPr>
          <w:rFonts w:ascii="Arial" w:hAnsi="Arial" w:cs="Arial"/>
          <w:sz w:val="22"/>
          <w:szCs w:val="22"/>
        </w:rPr>
        <w:t xml:space="preserve">A SWOT Analysis enables your organisation to look at the </w:t>
      </w:r>
      <w:proofErr w:type="spellStart"/>
      <w:r w:rsidRPr="002E6D03">
        <w:rPr>
          <w:rFonts w:ascii="Arial" w:hAnsi="Arial" w:cs="Arial"/>
          <w:sz w:val="22"/>
          <w:szCs w:val="22"/>
        </w:rPr>
        <w:t>Strenths</w:t>
      </w:r>
      <w:proofErr w:type="spellEnd"/>
      <w:r w:rsidRPr="002E6D03">
        <w:rPr>
          <w:rFonts w:ascii="Arial" w:hAnsi="Arial" w:cs="Arial"/>
          <w:sz w:val="22"/>
          <w:szCs w:val="22"/>
        </w:rPr>
        <w:t>, Weaknesses, Opportunities and Th</w:t>
      </w:r>
      <w:r w:rsidR="001C6927" w:rsidRPr="002E6D03">
        <w:rPr>
          <w:rFonts w:ascii="Arial" w:hAnsi="Arial" w:cs="Arial"/>
          <w:sz w:val="22"/>
          <w:szCs w:val="22"/>
        </w:rPr>
        <w:t xml:space="preserve">reats to your organisation, whilst a PESTLE analysis looks at the external environment and focuses on Political, </w:t>
      </w:r>
      <w:r w:rsidR="00964629" w:rsidRPr="002E6D03">
        <w:rPr>
          <w:rFonts w:ascii="Arial" w:hAnsi="Arial" w:cs="Arial"/>
          <w:sz w:val="22"/>
          <w:szCs w:val="22"/>
        </w:rPr>
        <w:t>Economic</w:t>
      </w:r>
      <w:r w:rsidR="001C6927" w:rsidRPr="002E6D03">
        <w:rPr>
          <w:rFonts w:ascii="Arial" w:hAnsi="Arial" w:cs="Arial"/>
          <w:sz w:val="22"/>
          <w:szCs w:val="22"/>
        </w:rPr>
        <w:t xml:space="preserve">, </w:t>
      </w:r>
      <w:r w:rsidR="00964629" w:rsidRPr="002E6D03">
        <w:rPr>
          <w:rFonts w:ascii="Arial" w:hAnsi="Arial" w:cs="Arial"/>
          <w:sz w:val="22"/>
          <w:szCs w:val="22"/>
        </w:rPr>
        <w:t xml:space="preserve">Social, Technological, Legal and Environmental factors. </w:t>
      </w:r>
    </w:p>
    <w:p w14:paraId="39E0763F" w14:textId="77777777" w:rsidR="00964629" w:rsidRPr="002E6D03" w:rsidRDefault="00964629" w:rsidP="00BB459F">
      <w:pPr>
        <w:rPr>
          <w:rFonts w:ascii="Arial" w:hAnsi="Arial" w:cs="Arial"/>
          <w:sz w:val="22"/>
          <w:szCs w:val="22"/>
        </w:rPr>
      </w:pPr>
    </w:p>
    <w:p w14:paraId="72EBC100" w14:textId="3153249A" w:rsidR="00964629" w:rsidRPr="002E6D03" w:rsidRDefault="00964629" w:rsidP="00BB459F">
      <w:pPr>
        <w:rPr>
          <w:rFonts w:ascii="Arial" w:hAnsi="Arial" w:cs="Arial"/>
          <w:sz w:val="22"/>
          <w:szCs w:val="22"/>
        </w:rPr>
      </w:pPr>
      <w:r w:rsidRPr="002E6D03">
        <w:rPr>
          <w:rFonts w:ascii="Arial" w:hAnsi="Arial" w:cs="Arial"/>
          <w:sz w:val="22"/>
          <w:szCs w:val="22"/>
        </w:rPr>
        <w:t xml:space="preserve">The guide provides a detailed breakdown of how to conduct your own organisational review and provides examples of best practice. </w:t>
      </w:r>
    </w:p>
    <w:p w14:paraId="04434C4B" w14:textId="77777777" w:rsidR="00964629" w:rsidRPr="002E6D03" w:rsidRDefault="00964629" w:rsidP="00BB459F">
      <w:pPr>
        <w:rPr>
          <w:rFonts w:ascii="Arial" w:hAnsi="Arial" w:cs="Arial"/>
          <w:sz w:val="22"/>
          <w:szCs w:val="22"/>
        </w:rPr>
      </w:pPr>
    </w:p>
    <w:p w14:paraId="43803433" w14:textId="21C7D731" w:rsidR="00A41390" w:rsidRPr="002E6D03" w:rsidRDefault="00F34F11" w:rsidP="00BB459F">
      <w:pPr>
        <w:rPr>
          <w:rFonts w:ascii="Arial" w:hAnsi="Arial" w:cs="Arial"/>
          <w:sz w:val="22"/>
          <w:szCs w:val="22"/>
        </w:rPr>
      </w:pPr>
      <w:hyperlink r:id="rId14" w:history="1">
        <w:r w:rsidR="00A41390" w:rsidRPr="002E6D03">
          <w:rPr>
            <w:rStyle w:val="Hyperlink"/>
            <w:rFonts w:ascii="Arial" w:hAnsi="Arial" w:cs="Arial"/>
            <w:color w:val="auto"/>
            <w:sz w:val="22"/>
            <w:szCs w:val="22"/>
          </w:rPr>
          <w:t>Full Resource Here</w:t>
        </w:r>
      </w:hyperlink>
      <w:r w:rsidR="00A41390" w:rsidRPr="002E6D03">
        <w:rPr>
          <w:rFonts w:ascii="Arial" w:hAnsi="Arial" w:cs="Arial"/>
          <w:sz w:val="22"/>
          <w:szCs w:val="22"/>
        </w:rPr>
        <w:t xml:space="preserve"> </w:t>
      </w:r>
    </w:p>
    <w:p w14:paraId="52009982" w14:textId="77777777" w:rsidR="00A41390" w:rsidRDefault="00A41390" w:rsidP="00BB459F">
      <w:pPr>
        <w:rPr>
          <w:rFonts w:ascii="Arial" w:hAnsi="Arial" w:cs="Arial"/>
          <w:b/>
          <w:bCs/>
          <w:sz w:val="28"/>
          <w:szCs w:val="28"/>
          <w:u w:val="single"/>
        </w:rPr>
      </w:pPr>
    </w:p>
    <w:p w14:paraId="4DB24ACF" w14:textId="77777777" w:rsidR="00924633" w:rsidRPr="002E6D03" w:rsidRDefault="00924633" w:rsidP="002E6D03">
      <w:pPr>
        <w:pStyle w:val="Heading2"/>
        <w:rPr>
          <w:b/>
          <w:bCs/>
          <w:color w:val="4472C4" w:themeColor="accent1"/>
        </w:rPr>
      </w:pPr>
      <w:r w:rsidRPr="002E6D03">
        <w:rPr>
          <w:b/>
          <w:bCs/>
          <w:color w:val="4472C4" w:themeColor="accent1"/>
        </w:rPr>
        <w:t xml:space="preserve">Conflicts of Interest </w:t>
      </w:r>
    </w:p>
    <w:p w14:paraId="07E8226C" w14:textId="77777777" w:rsidR="00355D2E" w:rsidRPr="002E6D03" w:rsidRDefault="00355D2E" w:rsidP="00355D2E">
      <w:pPr>
        <w:pStyle w:val="NoSpacing"/>
        <w:rPr>
          <w:rFonts w:ascii="Arial" w:hAnsi="Arial" w:cs="Arial"/>
          <w:sz w:val="22"/>
          <w:szCs w:val="22"/>
        </w:rPr>
      </w:pPr>
      <w:r w:rsidRPr="002E6D03">
        <w:rPr>
          <w:rFonts w:ascii="Arial" w:hAnsi="Arial" w:cs="Arial"/>
          <w:i/>
          <w:sz w:val="22"/>
          <w:szCs w:val="22"/>
          <w:lang w:val="en-US"/>
        </w:rPr>
        <w:t>A conflict of interest is any situation in which a Trustee’s personal interests or loyalties could, or could be seen to, prevent them from deciding only in the best interests of the charity.</w:t>
      </w:r>
      <w:r w:rsidRPr="002E6D03">
        <w:rPr>
          <w:rFonts w:ascii="Arial" w:hAnsi="Arial" w:cs="Arial"/>
          <w:sz w:val="22"/>
          <w:szCs w:val="22"/>
        </w:rPr>
        <w:t xml:space="preserve"> (Charity Commission definition)</w:t>
      </w:r>
    </w:p>
    <w:p w14:paraId="6F7D3823" w14:textId="77777777" w:rsidR="00355D2E" w:rsidRPr="002E6D03" w:rsidRDefault="00355D2E" w:rsidP="00355D2E">
      <w:pPr>
        <w:pStyle w:val="NoSpacing"/>
        <w:rPr>
          <w:rFonts w:ascii="Arial" w:hAnsi="Arial" w:cs="Arial"/>
          <w:sz w:val="22"/>
          <w:szCs w:val="22"/>
        </w:rPr>
      </w:pPr>
    </w:p>
    <w:p w14:paraId="31DF8BAE" w14:textId="77777777" w:rsidR="00355D2E" w:rsidRPr="002E6D03" w:rsidRDefault="00355D2E" w:rsidP="00355D2E">
      <w:pPr>
        <w:pStyle w:val="NoSpacing"/>
        <w:rPr>
          <w:rFonts w:ascii="Arial" w:hAnsi="Arial" w:cs="Arial"/>
          <w:sz w:val="22"/>
          <w:szCs w:val="22"/>
        </w:rPr>
      </w:pPr>
      <w:r w:rsidRPr="002E6D03">
        <w:rPr>
          <w:rFonts w:ascii="Arial" w:hAnsi="Arial" w:cs="Arial"/>
          <w:sz w:val="22"/>
          <w:szCs w:val="22"/>
        </w:rPr>
        <w:t>Conflicts of interest may come in a number of different forms:</w:t>
      </w:r>
    </w:p>
    <w:p w14:paraId="67FE5A84" w14:textId="77777777" w:rsidR="00355D2E" w:rsidRPr="002E6D03" w:rsidRDefault="00355D2E" w:rsidP="00355D2E">
      <w:pPr>
        <w:pStyle w:val="NoSpacing"/>
        <w:numPr>
          <w:ilvl w:val="0"/>
          <w:numId w:val="13"/>
        </w:numPr>
        <w:rPr>
          <w:rFonts w:ascii="Arial" w:hAnsi="Arial" w:cs="Arial"/>
          <w:sz w:val="22"/>
          <w:szCs w:val="22"/>
        </w:rPr>
      </w:pPr>
      <w:r w:rsidRPr="002E6D03">
        <w:rPr>
          <w:rFonts w:ascii="Arial" w:hAnsi="Arial" w:cs="Arial"/>
          <w:sz w:val="22"/>
          <w:szCs w:val="22"/>
        </w:rPr>
        <w:lastRenderedPageBreak/>
        <w:t>Direct financial gain or benefit to the Trustee, such as:</w:t>
      </w:r>
    </w:p>
    <w:p w14:paraId="23E35EA9" w14:textId="77777777" w:rsidR="00355D2E" w:rsidRPr="002E6D03" w:rsidRDefault="00355D2E" w:rsidP="00355D2E">
      <w:pPr>
        <w:pStyle w:val="NoSpacing"/>
        <w:numPr>
          <w:ilvl w:val="1"/>
          <w:numId w:val="13"/>
        </w:numPr>
        <w:rPr>
          <w:rFonts w:ascii="Arial" w:hAnsi="Arial" w:cs="Arial"/>
          <w:sz w:val="22"/>
          <w:szCs w:val="22"/>
        </w:rPr>
      </w:pPr>
      <w:r w:rsidRPr="002E6D03">
        <w:rPr>
          <w:rFonts w:ascii="Arial" w:hAnsi="Arial" w:cs="Arial"/>
          <w:sz w:val="22"/>
          <w:szCs w:val="22"/>
        </w:rPr>
        <w:t>Payment to a Trustee for services provided to the charity.</w:t>
      </w:r>
    </w:p>
    <w:p w14:paraId="64B331AA" w14:textId="77777777" w:rsidR="00355D2E" w:rsidRPr="002E6D03" w:rsidRDefault="00355D2E" w:rsidP="00355D2E">
      <w:pPr>
        <w:pStyle w:val="NoSpacing"/>
        <w:numPr>
          <w:ilvl w:val="1"/>
          <w:numId w:val="13"/>
        </w:numPr>
        <w:rPr>
          <w:rFonts w:ascii="Arial" w:hAnsi="Arial" w:cs="Arial"/>
          <w:sz w:val="22"/>
          <w:szCs w:val="22"/>
        </w:rPr>
      </w:pPr>
      <w:r w:rsidRPr="002E6D03">
        <w:rPr>
          <w:rFonts w:ascii="Arial" w:hAnsi="Arial" w:cs="Arial"/>
          <w:sz w:val="22"/>
          <w:szCs w:val="22"/>
        </w:rPr>
        <w:t>The award of a contract to another organisation in which a Trustee has an interest and from which a Trustee will receive a financial benefit.</w:t>
      </w:r>
    </w:p>
    <w:p w14:paraId="49853068" w14:textId="77777777" w:rsidR="00355D2E" w:rsidRPr="002E6D03" w:rsidRDefault="00355D2E" w:rsidP="00355D2E">
      <w:pPr>
        <w:pStyle w:val="NoSpacing"/>
        <w:numPr>
          <w:ilvl w:val="1"/>
          <w:numId w:val="13"/>
        </w:numPr>
        <w:rPr>
          <w:rFonts w:ascii="Arial" w:hAnsi="Arial" w:cs="Arial"/>
          <w:sz w:val="22"/>
          <w:szCs w:val="22"/>
        </w:rPr>
      </w:pPr>
      <w:r w:rsidRPr="002E6D03">
        <w:rPr>
          <w:rFonts w:ascii="Arial" w:hAnsi="Arial" w:cs="Arial"/>
          <w:sz w:val="22"/>
          <w:szCs w:val="22"/>
        </w:rPr>
        <w:t>The employment of a Trustee in a separate post within the charity, even when the Trustee has resigned in order to take up the employment.</w:t>
      </w:r>
    </w:p>
    <w:p w14:paraId="159EE3F8" w14:textId="77777777" w:rsidR="00355D2E" w:rsidRPr="002E6D03" w:rsidRDefault="00355D2E" w:rsidP="00355D2E">
      <w:pPr>
        <w:pStyle w:val="NoSpacing"/>
        <w:numPr>
          <w:ilvl w:val="0"/>
          <w:numId w:val="13"/>
        </w:numPr>
        <w:rPr>
          <w:rFonts w:ascii="Arial" w:hAnsi="Arial" w:cs="Arial"/>
          <w:sz w:val="22"/>
          <w:szCs w:val="22"/>
        </w:rPr>
      </w:pPr>
      <w:r w:rsidRPr="002E6D03">
        <w:rPr>
          <w:rFonts w:ascii="Arial" w:hAnsi="Arial" w:cs="Arial"/>
          <w:sz w:val="22"/>
          <w:szCs w:val="22"/>
        </w:rPr>
        <w:t>Indirect financial gain, such as employment by the charity of a spouse or partner of a Trustee, where their finances are interdependent.</w:t>
      </w:r>
    </w:p>
    <w:p w14:paraId="0B9C60F0" w14:textId="77777777" w:rsidR="00355D2E" w:rsidRPr="002E6D03" w:rsidRDefault="00355D2E" w:rsidP="00355D2E">
      <w:pPr>
        <w:pStyle w:val="NoSpacing"/>
        <w:numPr>
          <w:ilvl w:val="0"/>
          <w:numId w:val="13"/>
        </w:numPr>
        <w:rPr>
          <w:rFonts w:ascii="Arial" w:hAnsi="Arial" w:cs="Arial"/>
          <w:sz w:val="22"/>
          <w:szCs w:val="22"/>
        </w:rPr>
      </w:pPr>
      <w:r w:rsidRPr="002E6D03">
        <w:rPr>
          <w:rFonts w:ascii="Arial" w:hAnsi="Arial" w:cs="Arial"/>
          <w:sz w:val="22"/>
          <w:szCs w:val="22"/>
        </w:rPr>
        <w:t>Non-financial gain, such as when a user of the charity’s services is also a Trustee.</w:t>
      </w:r>
    </w:p>
    <w:p w14:paraId="093F8160" w14:textId="77777777" w:rsidR="00355D2E" w:rsidRPr="002E6D03" w:rsidRDefault="00355D2E" w:rsidP="00355D2E">
      <w:pPr>
        <w:pStyle w:val="NoSpacing"/>
        <w:numPr>
          <w:ilvl w:val="0"/>
          <w:numId w:val="13"/>
        </w:numPr>
        <w:rPr>
          <w:rFonts w:ascii="Arial" w:hAnsi="Arial" w:cs="Arial"/>
          <w:sz w:val="22"/>
          <w:szCs w:val="22"/>
        </w:rPr>
      </w:pPr>
      <w:r w:rsidRPr="002E6D03">
        <w:rPr>
          <w:rFonts w:ascii="Arial" w:hAnsi="Arial" w:cs="Arial"/>
          <w:sz w:val="22"/>
          <w:szCs w:val="22"/>
        </w:rPr>
        <w:t>Conflict of loyalties, such as where a Trustee is appointed by the local authority or by one of the charity’s funders, or where a friend of a Trustee is employed by the charity.</w:t>
      </w:r>
    </w:p>
    <w:p w14:paraId="5579E582" w14:textId="77777777" w:rsidR="00924633" w:rsidRPr="002E6D03" w:rsidRDefault="00924633" w:rsidP="00BB459F">
      <w:pPr>
        <w:rPr>
          <w:rFonts w:ascii="Arial" w:hAnsi="Arial" w:cs="Arial"/>
          <w:b/>
          <w:bCs/>
          <w:sz w:val="22"/>
          <w:szCs w:val="22"/>
          <w:u w:val="single"/>
        </w:rPr>
      </w:pPr>
    </w:p>
    <w:p w14:paraId="292B35AF" w14:textId="0ABBFA01" w:rsidR="002E6D03" w:rsidRPr="002E6D03" w:rsidRDefault="00F34F11" w:rsidP="00BB459F">
      <w:pPr>
        <w:rPr>
          <w:rFonts w:ascii="Arial" w:hAnsi="Arial" w:cs="Arial"/>
          <w:sz w:val="22"/>
          <w:szCs w:val="22"/>
        </w:rPr>
      </w:pPr>
      <w:hyperlink r:id="rId15" w:history="1">
        <w:r w:rsidR="00924633" w:rsidRPr="002E6D03">
          <w:rPr>
            <w:rStyle w:val="Hyperlink"/>
            <w:rFonts w:ascii="Arial" w:hAnsi="Arial" w:cs="Arial"/>
            <w:color w:val="auto"/>
            <w:sz w:val="22"/>
            <w:szCs w:val="22"/>
          </w:rPr>
          <w:t>Full Resource Here</w:t>
        </w:r>
      </w:hyperlink>
    </w:p>
    <w:p w14:paraId="4F898494" w14:textId="77777777" w:rsidR="008D0F85" w:rsidRDefault="008D0F85" w:rsidP="00BB459F">
      <w:pPr>
        <w:rPr>
          <w:rFonts w:ascii="Arial" w:hAnsi="Arial" w:cs="Arial"/>
          <w:b/>
          <w:bCs/>
          <w:sz w:val="28"/>
          <w:szCs w:val="28"/>
          <w:u w:val="single"/>
        </w:rPr>
      </w:pPr>
    </w:p>
    <w:p w14:paraId="63699F34" w14:textId="77777777" w:rsidR="008A0C41" w:rsidRDefault="008A0C41" w:rsidP="002E6D03">
      <w:pPr>
        <w:pStyle w:val="Heading2"/>
        <w:rPr>
          <w:b/>
          <w:bCs/>
          <w:color w:val="4472C4" w:themeColor="accent1"/>
        </w:rPr>
      </w:pPr>
      <w:r>
        <w:rPr>
          <w:b/>
          <w:bCs/>
          <w:color w:val="4472C4" w:themeColor="accent1"/>
        </w:rPr>
        <w:t>Charity Sustainability</w:t>
      </w:r>
    </w:p>
    <w:p w14:paraId="689E15AD" w14:textId="16BC5315" w:rsidR="00FB4789" w:rsidRPr="00FB4789" w:rsidRDefault="00FB4789" w:rsidP="005A579E">
      <w:pPr>
        <w:rPr>
          <w:sz w:val="22"/>
          <w:szCs w:val="22"/>
        </w:rPr>
      </w:pPr>
      <w:r w:rsidRPr="005A579E">
        <w:rPr>
          <w:sz w:val="22"/>
          <w:szCs w:val="22"/>
        </w:rPr>
        <w:t xml:space="preserve">The </w:t>
      </w:r>
      <w:r w:rsidRPr="00FB4789">
        <w:rPr>
          <w:sz w:val="22"/>
          <w:szCs w:val="22"/>
        </w:rPr>
        <w:t>Charities Aid Foundation</w:t>
      </w:r>
      <w:r w:rsidRPr="005A579E">
        <w:rPr>
          <w:sz w:val="22"/>
          <w:szCs w:val="22"/>
        </w:rPr>
        <w:t xml:space="preserve">, </w:t>
      </w:r>
      <w:r w:rsidRPr="00FB4789">
        <w:rPr>
          <w:sz w:val="22"/>
          <w:szCs w:val="22"/>
        </w:rPr>
        <w:t>Charity Landscape 2022 Report</w:t>
      </w:r>
      <w:r w:rsidRPr="005A579E">
        <w:rPr>
          <w:sz w:val="22"/>
          <w:szCs w:val="22"/>
        </w:rPr>
        <w:t xml:space="preserve"> provides an overview of the challenges around charity </w:t>
      </w:r>
      <w:proofErr w:type="gramStart"/>
      <w:r w:rsidRPr="005A579E">
        <w:rPr>
          <w:sz w:val="22"/>
          <w:szCs w:val="22"/>
        </w:rPr>
        <w:t>sustainability, and</w:t>
      </w:r>
      <w:proofErr w:type="gramEnd"/>
      <w:r w:rsidRPr="005A579E">
        <w:rPr>
          <w:sz w:val="22"/>
          <w:szCs w:val="22"/>
        </w:rPr>
        <w:t xml:space="preserve"> gives key stats on </w:t>
      </w:r>
      <w:r w:rsidR="005A579E" w:rsidRPr="005A579E">
        <w:rPr>
          <w:sz w:val="22"/>
          <w:szCs w:val="22"/>
        </w:rPr>
        <w:t xml:space="preserve">how the sector is responding to challenges. </w:t>
      </w:r>
    </w:p>
    <w:p w14:paraId="05BFC06A" w14:textId="77777777" w:rsidR="008A0C41" w:rsidRPr="005A579E" w:rsidRDefault="008A0C41" w:rsidP="008A0C41"/>
    <w:p w14:paraId="0642BEC2" w14:textId="0D8D52A8" w:rsidR="008A0C41" w:rsidRPr="005A579E" w:rsidRDefault="008A0C41" w:rsidP="008A0C41">
      <w:hyperlink r:id="rId16" w:history="1">
        <w:r w:rsidRPr="005A579E">
          <w:rPr>
            <w:rStyle w:val="Hyperlink"/>
            <w:color w:val="auto"/>
          </w:rPr>
          <w:t>Full Resource Here</w:t>
        </w:r>
      </w:hyperlink>
    </w:p>
    <w:p w14:paraId="2F33D5DC" w14:textId="77777777" w:rsidR="008A0C41" w:rsidRDefault="008A0C41" w:rsidP="002E6D03">
      <w:pPr>
        <w:pStyle w:val="Heading2"/>
        <w:rPr>
          <w:b/>
          <w:bCs/>
          <w:color w:val="4472C4" w:themeColor="accent1"/>
        </w:rPr>
      </w:pPr>
    </w:p>
    <w:p w14:paraId="11D48672" w14:textId="77777777" w:rsidR="0024172E" w:rsidRDefault="0024172E" w:rsidP="002E6D03">
      <w:pPr>
        <w:pStyle w:val="Heading2"/>
        <w:rPr>
          <w:b/>
          <w:bCs/>
          <w:color w:val="4472C4" w:themeColor="accent1"/>
        </w:rPr>
      </w:pPr>
      <w:r>
        <w:rPr>
          <w:b/>
          <w:bCs/>
          <w:color w:val="4472C4" w:themeColor="accent1"/>
        </w:rPr>
        <w:t xml:space="preserve">Charities and Risk Management </w:t>
      </w:r>
    </w:p>
    <w:p w14:paraId="009AE74F" w14:textId="5DEB5A51" w:rsidR="006016F9" w:rsidRPr="00F34F11" w:rsidRDefault="0024172E" w:rsidP="00F34F11">
      <w:pPr>
        <w:rPr>
          <w:sz w:val="22"/>
          <w:szCs w:val="22"/>
        </w:rPr>
      </w:pPr>
      <w:r w:rsidRPr="00F34F11">
        <w:rPr>
          <w:sz w:val="22"/>
          <w:szCs w:val="22"/>
        </w:rPr>
        <w:t>This guidance from the Charity Commission</w:t>
      </w:r>
      <w:r w:rsidR="006016F9" w:rsidRPr="00F34F11">
        <w:rPr>
          <w:sz w:val="22"/>
          <w:szCs w:val="22"/>
        </w:rPr>
        <w:t xml:space="preserve"> look at how c</w:t>
      </w:r>
      <w:r w:rsidR="006016F9" w:rsidRPr="00F34F11">
        <w:rPr>
          <w:sz w:val="22"/>
          <w:szCs w:val="22"/>
        </w:rPr>
        <w:t xml:space="preserve">harity trustees should review and assess the risks faced by their </w:t>
      </w:r>
      <w:proofErr w:type="gramStart"/>
      <w:r w:rsidR="006016F9" w:rsidRPr="00F34F11">
        <w:rPr>
          <w:sz w:val="22"/>
          <w:szCs w:val="22"/>
        </w:rPr>
        <w:t>charity</w:t>
      </w:r>
      <w:r w:rsidR="006016F9" w:rsidRPr="00F34F11">
        <w:rPr>
          <w:sz w:val="22"/>
          <w:szCs w:val="22"/>
        </w:rPr>
        <w:t>, and</w:t>
      </w:r>
      <w:proofErr w:type="gramEnd"/>
      <w:r w:rsidR="006016F9" w:rsidRPr="00F34F11">
        <w:rPr>
          <w:sz w:val="22"/>
          <w:szCs w:val="22"/>
        </w:rPr>
        <w:t xml:space="preserve"> </w:t>
      </w:r>
      <w:r w:rsidR="006016F9" w:rsidRPr="00F34F11">
        <w:rPr>
          <w:sz w:val="22"/>
          <w:szCs w:val="22"/>
        </w:rPr>
        <w:t>outlines the basic principles and strategies that can be applied to help charities manage their risks. It should help trustees set a risk framework that allows them to:</w:t>
      </w:r>
    </w:p>
    <w:p w14:paraId="51A87819" w14:textId="77777777" w:rsidR="006016F9" w:rsidRPr="00F34F11" w:rsidRDefault="006016F9" w:rsidP="00F34F11">
      <w:pPr>
        <w:pStyle w:val="ListParagraph"/>
        <w:numPr>
          <w:ilvl w:val="0"/>
          <w:numId w:val="21"/>
        </w:numPr>
        <w:rPr>
          <w:sz w:val="22"/>
          <w:szCs w:val="22"/>
        </w:rPr>
      </w:pPr>
      <w:r w:rsidRPr="00F34F11">
        <w:rPr>
          <w:sz w:val="22"/>
          <w:szCs w:val="22"/>
        </w:rPr>
        <w:t>identify the major risks that apply to their charity</w:t>
      </w:r>
    </w:p>
    <w:p w14:paraId="47142BFA" w14:textId="77777777" w:rsidR="006016F9" w:rsidRPr="00F34F11" w:rsidRDefault="006016F9" w:rsidP="00F34F11">
      <w:pPr>
        <w:pStyle w:val="ListParagraph"/>
        <w:numPr>
          <w:ilvl w:val="0"/>
          <w:numId w:val="21"/>
        </w:numPr>
        <w:rPr>
          <w:sz w:val="22"/>
          <w:szCs w:val="22"/>
        </w:rPr>
      </w:pPr>
      <w:r w:rsidRPr="00F34F11">
        <w:rPr>
          <w:sz w:val="22"/>
          <w:szCs w:val="22"/>
        </w:rPr>
        <w:t>make decisions about how to respond to the risks they face</w:t>
      </w:r>
    </w:p>
    <w:p w14:paraId="6BE7F367" w14:textId="77777777" w:rsidR="006016F9" w:rsidRPr="00F34F11" w:rsidRDefault="006016F9" w:rsidP="00F34F11">
      <w:pPr>
        <w:pStyle w:val="ListParagraph"/>
        <w:numPr>
          <w:ilvl w:val="0"/>
          <w:numId w:val="21"/>
        </w:numPr>
        <w:rPr>
          <w:sz w:val="22"/>
          <w:szCs w:val="22"/>
        </w:rPr>
      </w:pPr>
      <w:r w:rsidRPr="00F34F11">
        <w:rPr>
          <w:sz w:val="22"/>
          <w:szCs w:val="22"/>
        </w:rPr>
        <w:t>make an appropriate statement regarding risk management in their annual report</w:t>
      </w:r>
    </w:p>
    <w:p w14:paraId="43842318" w14:textId="3C71B19A" w:rsidR="0024172E" w:rsidRPr="00F34F11" w:rsidRDefault="0024172E" w:rsidP="00F34F11">
      <w:pPr>
        <w:rPr>
          <w:sz w:val="22"/>
          <w:szCs w:val="22"/>
        </w:rPr>
      </w:pPr>
    </w:p>
    <w:p w14:paraId="517E0CA3" w14:textId="522E3D41" w:rsidR="006016F9" w:rsidRPr="00F34F11" w:rsidRDefault="00F34F11" w:rsidP="00F34F11">
      <w:pPr>
        <w:rPr>
          <w:sz w:val="22"/>
          <w:szCs w:val="22"/>
        </w:rPr>
      </w:pPr>
      <w:hyperlink r:id="rId17" w:history="1">
        <w:r w:rsidR="006016F9" w:rsidRPr="00F34F11">
          <w:rPr>
            <w:rStyle w:val="Hyperlink"/>
            <w:color w:val="auto"/>
            <w:sz w:val="22"/>
            <w:szCs w:val="22"/>
          </w:rPr>
          <w:t>Full Resource Here</w:t>
        </w:r>
      </w:hyperlink>
    </w:p>
    <w:p w14:paraId="0D1C42CA" w14:textId="77777777" w:rsidR="0024172E" w:rsidRPr="0024172E" w:rsidRDefault="0024172E" w:rsidP="0024172E"/>
    <w:p w14:paraId="365401DB" w14:textId="21368474" w:rsidR="008D0F85" w:rsidRPr="002E6D03" w:rsidRDefault="008D0F85" w:rsidP="002E6D03">
      <w:pPr>
        <w:pStyle w:val="Heading2"/>
        <w:rPr>
          <w:b/>
          <w:bCs/>
          <w:color w:val="4472C4" w:themeColor="accent1"/>
        </w:rPr>
      </w:pPr>
      <w:r w:rsidRPr="002E6D03">
        <w:rPr>
          <w:b/>
          <w:bCs/>
          <w:color w:val="4472C4" w:themeColor="accent1"/>
        </w:rPr>
        <w:t>Preparing Accounts and Annual Returns</w:t>
      </w:r>
    </w:p>
    <w:p w14:paraId="52EC0D2F" w14:textId="70F02240" w:rsidR="0072203D" w:rsidRPr="002E6D03" w:rsidRDefault="001F4252" w:rsidP="0072203D">
      <w:pPr>
        <w:pStyle w:val="NoSpacing"/>
        <w:rPr>
          <w:rFonts w:ascii="Arial" w:hAnsi="Arial" w:cs="Arial"/>
          <w:sz w:val="22"/>
          <w:szCs w:val="22"/>
        </w:rPr>
      </w:pPr>
      <w:r w:rsidRPr="002E6D03">
        <w:rPr>
          <w:rFonts w:ascii="Arial" w:hAnsi="Arial" w:cs="Arial"/>
          <w:sz w:val="22"/>
          <w:szCs w:val="22"/>
        </w:rPr>
        <w:t xml:space="preserve">All charities must prepare Accounts and an Annual Report and make them available on request. Registered </w:t>
      </w:r>
      <w:r w:rsidR="0072203D" w:rsidRPr="002E6D03">
        <w:rPr>
          <w:rFonts w:ascii="Arial" w:hAnsi="Arial" w:cs="Arial"/>
          <w:sz w:val="22"/>
          <w:szCs w:val="22"/>
        </w:rPr>
        <w:t>charities with an annual income over £25,000 and all Charitable Incorporated Organisations (CIOs) must file the Accounts and Annual Report with the Charity Commission within 10 months of the end of their financial year.</w:t>
      </w:r>
    </w:p>
    <w:p w14:paraId="44C2A2DC" w14:textId="77777777" w:rsidR="0072203D" w:rsidRPr="002E6D03" w:rsidRDefault="0072203D" w:rsidP="0072203D">
      <w:pPr>
        <w:pStyle w:val="NoSpacing"/>
        <w:rPr>
          <w:rFonts w:ascii="Arial" w:hAnsi="Arial" w:cs="Arial"/>
          <w:sz w:val="22"/>
          <w:szCs w:val="22"/>
        </w:rPr>
      </w:pPr>
    </w:p>
    <w:p w14:paraId="79EEA324" w14:textId="77777777" w:rsidR="0072203D" w:rsidRPr="002E6D03" w:rsidRDefault="0072203D" w:rsidP="0072203D">
      <w:pPr>
        <w:pStyle w:val="NoSpacing"/>
        <w:rPr>
          <w:rFonts w:ascii="Arial" w:hAnsi="Arial" w:cs="Arial"/>
          <w:sz w:val="22"/>
          <w:szCs w:val="22"/>
        </w:rPr>
      </w:pPr>
      <w:r w:rsidRPr="002E6D03">
        <w:rPr>
          <w:rFonts w:ascii="Arial" w:hAnsi="Arial" w:cs="Arial"/>
          <w:sz w:val="22"/>
          <w:szCs w:val="22"/>
        </w:rPr>
        <w:t>On the Charity Commission website, the Accounts and Annual Report are often grouped together as one file for the public to view.</w:t>
      </w:r>
    </w:p>
    <w:p w14:paraId="52F59862" w14:textId="77777777" w:rsidR="0072203D" w:rsidRPr="002E6D03" w:rsidRDefault="0072203D" w:rsidP="0072203D">
      <w:pPr>
        <w:pStyle w:val="NoSpacing"/>
        <w:rPr>
          <w:rFonts w:ascii="Arial" w:hAnsi="Arial" w:cs="Arial"/>
          <w:sz w:val="22"/>
          <w:szCs w:val="22"/>
        </w:rPr>
      </w:pPr>
    </w:p>
    <w:p w14:paraId="2DB8A360" w14:textId="4B032AA4" w:rsidR="008D0F85" w:rsidRPr="002E6D03" w:rsidRDefault="001F4252" w:rsidP="00BB459F">
      <w:pPr>
        <w:rPr>
          <w:rStyle w:val="apple-converted-space"/>
          <w:rFonts w:ascii="Arial" w:hAnsi="Arial" w:cs="Arial"/>
          <w:sz w:val="22"/>
          <w:szCs w:val="22"/>
          <w:shd w:val="clear" w:color="auto" w:fill="FFFFFF"/>
        </w:rPr>
      </w:pPr>
      <w:r w:rsidRPr="002E6D03">
        <w:rPr>
          <w:rFonts w:ascii="Arial" w:hAnsi="Arial" w:cs="Arial"/>
          <w:sz w:val="22"/>
          <w:szCs w:val="22"/>
        </w:rPr>
        <w:t xml:space="preserve">This guide covers </w:t>
      </w:r>
      <w:r w:rsidRPr="002E6D03">
        <w:rPr>
          <w:rFonts w:ascii="Arial" w:hAnsi="Arial" w:cs="Arial"/>
          <w:sz w:val="22"/>
          <w:szCs w:val="22"/>
          <w:shd w:val="clear" w:color="auto" w:fill="FFFFFF"/>
        </w:rPr>
        <w:t>what trustees need to do when preparing trustees’ annual reports, accounts and annual returns for accounting periods</w:t>
      </w:r>
      <w:r w:rsidRPr="002E6D03">
        <w:rPr>
          <w:rStyle w:val="apple-converted-space"/>
          <w:rFonts w:ascii="Arial" w:hAnsi="Arial" w:cs="Arial"/>
          <w:sz w:val="22"/>
          <w:szCs w:val="22"/>
          <w:shd w:val="clear" w:color="auto" w:fill="FFFFFF"/>
        </w:rPr>
        <w:t xml:space="preserve">. </w:t>
      </w:r>
    </w:p>
    <w:p w14:paraId="1A2301C8" w14:textId="77777777" w:rsidR="001F4252" w:rsidRPr="002E6D03" w:rsidRDefault="001F4252" w:rsidP="00BB459F">
      <w:pPr>
        <w:rPr>
          <w:rFonts w:ascii="Arial" w:hAnsi="Arial" w:cs="Arial"/>
          <w:sz w:val="22"/>
          <w:szCs w:val="22"/>
        </w:rPr>
      </w:pPr>
    </w:p>
    <w:p w14:paraId="1FDB54E8" w14:textId="7EFEBBB0" w:rsidR="008D0F85" w:rsidRPr="002E6D03" w:rsidRDefault="00F34F11" w:rsidP="00BB459F">
      <w:pPr>
        <w:rPr>
          <w:rFonts w:ascii="Arial" w:hAnsi="Arial" w:cs="Arial"/>
          <w:sz w:val="22"/>
          <w:szCs w:val="22"/>
        </w:rPr>
      </w:pPr>
      <w:hyperlink r:id="rId18" w:history="1">
        <w:r w:rsidR="008D0F85" w:rsidRPr="002E6D03">
          <w:rPr>
            <w:rStyle w:val="Hyperlink"/>
            <w:rFonts w:ascii="Arial" w:hAnsi="Arial" w:cs="Arial"/>
            <w:color w:val="auto"/>
            <w:sz w:val="22"/>
            <w:szCs w:val="22"/>
          </w:rPr>
          <w:t>Full Resource Here</w:t>
        </w:r>
      </w:hyperlink>
    </w:p>
    <w:p w14:paraId="3070DD00" w14:textId="77777777" w:rsidR="00991E66" w:rsidRDefault="00991E66" w:rsidP="00BB459F">
      <w:pPr>
        <w:rPr>
          <w:rFonts w:ascii="Arial" w:hAnsi="Arial" w:cs="Arial"/>
          <w:b/>
          <w:bCs/>
          <w:sz w:val="28"/>
          <w:szCs w:val="28"/>
          <w:u w:val="single"/>
        </w:rPr>
      </w:pPr>
    </w:p>
    <w:p w14:paraId="47BB381B" w14:textId="77777777" w:rsidR="0046720C" w:rsidRPr="002E6D03" w:rsidRDefault="0046720C" w:rsidP="002E6D03">
      <w:pPr>
        <w:pStyle w:val="Heading2"/>
        <w:rPr>
          <w:b/>
          <w:bCs/>
          <w:color w:val="4472C4" w:themeColor="accent1"/>
        </w:rPr>
      </w:pPr>
      <w:r w:rsidRPr="002E6D03">
        <w:rPr>
          <w:b/>
          <w:bCs/>
          <w:color w:val="4472C4" w:themeColor="accent1"/>
        </w:rPr>
        <w:t xml:space="preserve">Fundraising Regulator </w:t>
      </w:r>
    </w:p>
    <w:p w14:paraId="133C2A85" w14:textId="0A806E07" w:rsidR="00B11890" w:rsidRPr="002E6D03" w:rsidRDefault="00B11890" w:rsidP="00BB459F">
      <w:pPr>
        <w:rPr>
          <w:rFonts w:ascii="Arial" w:hAnsi="Arial" w:cs="Arial"/>
          <w:sz w:val="22"/>
          <w:szCs w:val="22"/>
          <w:shd w:val="clear" w:color="auto" w:fill="FFFFFF"/>
        </w:rPr>
      </w:pPr>
      <w:r w:rsidRPr="002E6D03">
        <w:rPr>
          <w:rFonts w:ascii="Arial" w:hAnsi="Arial" w:cs="Arial"/>
          <w:sz w:val="22"/>
          <w:szCs w:val="22"/>
        </w:rPr>
        <w:t>The Fundraising Regular i</w:t>
      </w:r>
      <w:r w:rsidRPr="002E6D03">
        <w:rPr>
          <w:rFonts w:ascii="Arial" w:hAnsi="Arial" w:cs="Arial"/>
          <w:sz w:val="22"/>
          <w:szCs w:val="22"/>
          <w:shd w:val="clear" w:color="auto" w:fill="FFFFFF"/>
        </w:rPr>
        <w:t>s the independent regulator of charitable fundraising in England, Wales and Northern Ireland.</w:t>
      </w:r>
      <w:r w:rsidRPr="002E6D03">
        <w:rPr>
          <w:rStyle w:val="apple-converted-space"/>
          <w:rFonts w:ascii="Arial" w:hAnsi="Arial" w:cs="Arial"/>
          <w:sz w:val="22"/>
          <w:szCs w:val="22"/>
          <w:shd w:val="clear" w:color="auto" w:fill="FFFFFF"/>
        </w:rPr>
        <w:t> </w:t>
      </w:r>
      <w:r w:rsidRPr="002E6D03">
        <w:rPr>
          <w:rFonts w:ascii="Arial" w:hAnsi="Arial" w:cs="Arial"/>
          <w:sz w:val="22"/>
          <w:szCs w:val="22"/>
          <w:shd w:val="clear" w:color="auto" w:fill="FFFFFF"/>
        </w:rPr>
        <w:t>It ensures public protection, accountability, and excellence in fundraising, and works in partnership with other regulators and representative bodies in the charitable and fundraising sectors to build public trust and confidence and ensure consistently high fundraising standards across the UK.</w:t>
      </w:r>
    </w:p>
    <w:p w14:paraId="6974013E" w14:textId="77777777" w:rsidR="0083542B" w:rsidRPr="002E6D03" w:rsidRDefault="0083542B" w:rsidP="00BB459F">
      <w:pPr>
        <w:rPr>
          <w:rFonts w:ascii="Arial" w:hAnsi="Arial" w:cs="Arial"/>
          <w:sz w:val="22"/>
          <w:szCs w:val="22"/>
          <w:shd w:val="clear" w:color="auto" w:fill="FFFFFF"/>
        </w:rPr>
      </w:pPr>
    </w:p>
    <w:p w14:paraId="6DF04031" w14:textId="151553B3" w:rsidR="0083542B" w:rsidRPr="002E6D03" w:rsidRDefault="0083542B" w:rsidP="0083542B">
      <w:pPr>
        <w:pStyle w:val="NoSpacing"/>
        <w:rPr>
          <w:rFonts w:ascii="Arial" w:hAnsi="Arial" w:cs="Arial"/>
          <w:sz w:val="22"/>
          <w:szCs w:val="22"/>
        </w:rPr>
      </w:pPr>
      <w:r w:rsidRPr="002E6D03">
        <w:rPr>
          <w:rFonts w:ascii="Arial" w:hAnsi="Arial" w:cs="Arial"/>
          <w:sz w:val="22"/>
          <w:szCs w:val="22"/>
        </w:rPr>
        <w:t>The Fundraising Regulator now has memorandums of understanding in place with the Charity Commission, Institute of Fundraising, and Information Commissioner. These will enable complaints to be passed on to other bodies where relevant.  </w:t>
      </w:r>
    </w:p>
    <w:p w14:paraId="467825A3" w14:textId="77777777" w:rsidR="0046720C" w:rsidRPr="002E6D03" w:rsidRDefault="0046720C" w:rsidP="00BB459F">
      <w:pPr>
        <w:rPr>
          <w:rFonts w:ascii="Arial" w:hAnsi="Arial" w:cs="Arial"/>
          <w:b/>
          <w:bCs/>
          <w:sz w:val="22"/>
          <w:szCs w:val="22"/>
          <w:u w:val="single"/>
        </w:rPr>
      </w:pPr>
    </w:p>
    <w:p w14:paraId="2450B12C" w14:textId="197F5193" w:rsidR="0046720C" w:rsidRPr="002E6D03" w:rsidRDefault="00F34F11" w:rsidP="00BB459F">
      <w:pPr>
        <w:rPr>
          <w:rFonts w:ascii="Arial" w:hAnsi="Arial" w:cs="Arial"/>
          <w:sz w:val="22"/>
          <w:szCs w:val="22"/>
        </w:rPr>
      </w:pPr>
      <w:hyperlink r:id="rId19" w:history="1">
        <w:r w:rsidR="0046720C" w:rsidRPr="002E6D03">
          <w:rPr>
            <w:rStyle w:val="Hyperlink"/>
            <w:rFonts w:ascii="Arial" w:hAnsi="Arial" w:cs="Arial"/>
            <w:color w:val="auto"/>
            <w:sz w:val="22"/>
            <w:szCs w:val="22"/>
          </w:rPr>
          <w:t>Full Resource Here</w:t>
        </w:r>
      </w:hyperlink>
    </w:p>
    <w:p w14:paraId="7E93EC86" w14:textId="77777777" w:rsidR="00B913E8" w:rsidRDefault="00B913E8" w:rsidP="00BB459F">
      <w:pPr>
        <w:rPr>
          <w:rFonts w:ascii="Arial" w:hAnsi="Arial" w:cs="Arial"/>
        </w:rPr>
      </w:pPr>
    </w:p>
    <w:p w14:paraId="2E9E9C5A" w14:textId="77777777" w:rsidR="00B913E8" w:rsidRPr="002E6D03" w:rsidRDefault="00B913E8" w:rsidP="002E6D03">
      <w:pPr>
        <w:pStyle w:val="Heading2"/>
        <w:rPr>
          <w:b/>
          <w:bCs/>
          <w:color w:val="4472C4" w:themeColor="accent1"/>
        </w:rPr>
      </w:pPr>
      <w:r w:rsidRPr="002E6D03">
        <w:rPr>
          <w:b/>
          <w:bCs/>
          <w:color w:val="4472C4" w:themeColor="accent1"/>
        </w:rPr>
        <w:lastRenderedPageBreak/>
        <w:t>Trustees and GDPR</w:t>
      </w:r>
    </w:p>
    <w:p w14:paraId="516F0FAD" w14:textId="534E5D9E" w:rsidR="001D112E" w:rsidRPr="002E6D03" w:rsidRDefault="001D112E" w:rsidP="001D112E">
      <w:pPr>
        <w:rPr>
          <w:rFonts w:ascii="Arial" w:eastAsia="Times New Roman" w:hAnsi="Arial" w:cs="Arial"/>
          <w:sz w:val="22"/>
          <w:szCs w:val="22"/>
        </w:rPr>
      </w:pPr>
      <w:r w:rsidRPr="002E6D03">
        <w:rPr>
          <w:rFonts w:ascii="Arial" w:eastAsia="Times New Roman" w:hAnsi="Arial" w:cs="Arial"/>
          <w:sz w:val="22"/>
          <w:szCs w:val="22"/>
        </w:rPr>
        <w:t xml:space="preserve">Trustees should also be mindful of General Data Protection Regulation and the need for charities to be compliant. </w:t>
      </w:r>
    </w:p>
    <w:p w14:paraId="7B285645" w14:textId="77777777" w:rsidR="00973803" w:rsidRPr="002E6D03" w:rsidRDefault="00973803" w:rsidP="001D112E">
      <w:pPr>
        <w:rPr>
          <w:rFonts w:ascii="Arial" w:eastAsia="Times New Roman" w:hAnsi="Arial" w:cs="Arial"/>
          <w:sz w:val="22"/>
          <w:szCs w:val="22"/>
        </w:rPr>
      </w:pPr>
    </w:p>
    <w:p w14:paraId="163B4A8E" w14:textId="6C351FED" w:rsidR="00982E3D" w:rsidRPr="002E6D03" w:rsidRDefault="00982E3D" w:rsidP="00982E3D">
      <w:pPr>
        <w:pStyle w:val="NoSpacing"/>
        <w:rPr>
          <w:rFonts w:ascii="Arial" w:hAnsi="Arial" w:cs="Arial"/>
          <w:sz w:val="22"/>
          <w:szCs w:val="22"/>
          <w:lang w:eastAsia="en-GB"/>
        </w:rPr>
      </w:pPr>
      <w:r w:rsidRPr="002E6D03">
        <w:rPr>
          <w:rFonts w:ascii="Arial" w:hAnsi="Arial" w:cs="Arial"/>
          <w:sz w:val="22"/>
          <w:szCs w:val="22"/>
          <w:lang w:eastAsia="en-GB"/>
        </w:rPr>
        <w:t>GDPR covers all organisations, no matter how big or small. Key questions that should be asked include:</w:t>
      </w:r>
    </w:p>
    <w:p w14:paraId="7BA7E59A" w14:textId="77777777" w:rsidR="00982E3D" w:rsidRPr="002E6D03" w:rsidRDefault="00982E3D" w:rsidP="00982E3D">
      <w:pPr>
        <w:pStyle w:val="NoSpacing"/>
        <w:numPr>
          <w:ilvl w:val="0"/>
          <w:numId w:val="16"/>
        </w:numPr>
        <w:rPr>
          <w:rFonts w:ascii="Arial" w:hAnsi="Arial" w:cs="Arial"/>
          <w:sz w:val="22"/>
          <w:szCs w:val="22"/>
          <w:lang w:eastAsia="en-GB"/>
        </w:rPr>
      </w:pPr>
      <w:r w:rsidRPr="002E6D03">
        <w:rPr>
          <w:rFonts w:ascii="Arial" w:hAnsi="Arial" w:cs="Arial"/>
          <w:sz w:val="22"/>
          <w:szCs w:val="22"/>
          <w:lang w:eastAsia="en-GB"/>
        </w:rPr>
        <w:t>What are my responsibilities in handling personal data of supporters?</w:t>
      </w:r>
    </w:p>
    <w:p w14:paraId="732031BD" w14:textId="77777777" w:rsidR="00982E3D" w:rsidRPr="002E6D03" w:rsidRDefault="00982E3D" w:rsidP="00982E3D">
      <w:pPr>
        <w:pStyle w:val="NoSpacing"/>
        <w:numPr>
          <w:ilvl w:val="0"/>
          <w:numId w:val="16"/>
        </w:numPr>
        <w:rPr>
          <w:rFonts w:ascii="Arial" w:hAnsi="Arial" w:cs="Arial"/>
          <w:sz w:val="22"/>
          <w:szCs w:val="22"/>
          <w:lang w:eastAsia="en-GB"/>
        </w:rPr>
      </w:pPr>
      <w:r w:rsidRPr="002E6D03">
        <w:rPr>
          <w:rFonts w:ascii="Arial" w:hAnsi="Arial" w:cs="Arial"/>
          <w:sz w:val="22"/>
          <w:szCs w:val="22"/>
          <w:lang w:eastAsia="en-GB"/>
        </w:rPr>
        <w:t>How and when can I contact supporters?</w:t>
      </w:r>
    </w:p>
    <w:p w14:paraId="352115F9" w14:textId="77777777" w:rsidR="00982E3D" w:rsidRPr="002E6D03" w:rsidRDefault="00982E3D" w:rsidP="00982E3D">
      <w:pPr>
        <w:pStyle w:val="NoSpacing"/>
        <w:numPr>
          <w:ilvl w:val="0"/>
          <w:numId w:val="16"/>
        </w:numPr>
        <w:rPr>
          <w:rFonts w:ascii="Arial" w:hAnsi="Arial" w:cs="Arial"/>
          <w:sz w:val="22"/>
          <w:szCs w:val="22"/>
          <w:lang w:eastAsia="en-GB"/>
        </w:rPr>
      </w:pPr>
      <w:r w:rsidRPr="002E6D03">
        <w:rPr>
          <w:rFonts w:ascii="Arial" w:hAnsi="Arial" w:cs="Arial"/>
          <w:sz w:val="22"/>
          <w:szCs w:val="22"/>
          <w:lang w:eastAsia="en-GB"/>
        </w:rPr>
        <w:t>Do I need to get consent for all communications?</w:t>
      </w:r>
    </w:p>
    <w:p w14:paraId="5154C41A" w14:textId="77777777" w:rsidR="00982E3D" w:rsidRPr="002E6D03" w:rsidRDefault="00982E3D" w:rsidP="00982E3D">
      <w:pPr>
        <w:pStyle w:val="NoSpacing"/>
        <w:numPr>
          <w:ilvl w:val="0"/>
          <w:numId w:val="16"/>
        </w:numPr>
        <w:rPr>
          <w:rFonts w:ascii="Arial" w:hAnsi="Arial" w:cs="Arial"/>
          <w:sz w:val="22"/>
          <w:szCs w:val="22"/>
          <w:lang w:eastAsia="en-GB"/>
        </w:rPr>
      </w:pPr>
      <w:r w:rsidRPr="002E6D03">
        <w:rPr>
          <w:rFonts w:ascii="Arial" w:hAnsi="Arial" w:cs="Arial"/>
          <w:sz w:val="22"/>
          <w:szCs w:val="22"/>
          <w:lang w:eastAsia="en-GB"/>
        </w:rPr>
        <w:t>What policies and procedures should we have in place?</w:t>
      </w:r>
    </w:p>
    <w:p w14:paraId="0DBE36EF" w14:textId="77777777" w:rsidR="001D112E" w:rsidRPr="002E6D03" w:rsidRDefault="001D112E" w:rsidP="001D112E">
      <w:pPr>
        <w:rPr>
          <w:rFonts w:ascii="Arial" w:eastAsia="Times New Roman" w:hAnsi="Arial" w:cs="Arial"/>
          <w:sz w:val="22"/>
          <w:szCs w:val="22"/>
        </w:rPr>
      </w:pPr>
    </w:p>
    <w:p w14:paraId="02461A37" w14:textId="66E8C625" w:rsidR="001D112E" w:rsidRPr="002E6D03" w:rsidRDefault="00F34F11" w:rsidP="001D112E">
      <w:pPr>
        <w:rPr>
          <w:rFonts w:ascii="Arial" w:eastAsia="Times New Roman" w:hAnsi="Arial" w:cs="Arial"/>
          <w:sz w:val="22"/>
          <w:szCs w:val="22"/>
          <w:lang w:val="en-US"/>
        </w:rPr>
      </w:pPr>
      <w:hyperlink r:id="rId20" w:history="1">
        <w:r w:rsidR="001D112E" w:rsidRPr="002E6D03">
          <w:rPr>
            <w:rStyle w:val="Hyperlink"/>
            <w:rFonts w:ascii="Arial" w:eastAsia="Times New Roman" w:hAnsi="Arial" w:cs="Arial"/>
            <w:color w:val="auto"/>
            <w:sz w:val="22"/>
            <w:szCs w:val="22"/>
          </w:rPr>
          <w:t>Full Resource Here</w:t>
        </w:r>
      </w:hyperlink>
    </w:p>
    <w:p w14:paraId="72DA4216" w14:textId="77777777" w:rsidR="009D6982" w:rsidRDefault="009D6982" w:rsidP="00BB459F">
      <w:pPr>
        <w:rPr>
          <w:rFonts w:ascii="Arial" w:hAnsi="Arial" w:cs="Arial"/>
          <w:b/>
          <w:bCs/>
          <w:sz w:val="28"/>
          <w:szCs w:val="28"/>
          <w:u w:val="single"/>
        </w:rPr>
      </w:pPr>
    </w:p>
    <w:p w14:paraId="6D430A1F" w14:textId="3A001CDC" w:rsidR="00BB459F" w:rsidRPr="002E6D03" w:rsidRDefault="00BB459F" w:rsidP="002E6D03">
      <w:pPr>
        <w:pStyle w:val="Heading2"/>
        <w:rPr>
          <w:b/>
          <w:bCs/>
          <w:color w:val="4472C4" w:themeColor="accent1"/>
        </w:rPr>
      </w:pPr>
      <w:r w:rsidRPr="002E6D03">
        <w:rPr>
          <w:b/>
          <w:bCs/>
          <w:color w:val="4472C4" w:themeColor="accent1"/>
        </w:rPr>
        <w:t xml:space="preserve">Measuring </w:t>
      </w:r>
      <w:r w:rsidR="00AF0C8D" w:rsidRPr="002E6D03">
        <w:rPr>
          <w:b/>
          <w:bCs/>
          <w:color w:val="4472C4" w:themeColor="accent1"/>
        </w:rPr>
        <w:t>I</w:t>
      </w:r>
      <w:r w:rsidRPr="002E6D03">
        <w:rPr>
          <w:b/>
          <w:bCs/>
          <w:color w:val="4472C4" w:themeColor="accent1"/>
        </w:rPr>
        <w:t>mpact</w:t>
      </w:r>
    </w:p>
    <w:p w14:paraId="3FE831F6" w14:textId="77777777" w:rsidR="00BB459F" w:rsidRPr="002E6D03" w:rsidRDefault="00BB459F" w:rsidP="00BB459F">
      <w:pPr>
        <w:rPr>
          <w:rFonts w:ascii="Arial" w:hAnsi="Arial" w:cs="Arial"/>
          <w:sz w:val="22"/>
          <w:szCs w:val="22"/>
        </w:rPr>
      </w:pPr>
      <w:r w:rsidRPr="002E6D03">
        <w:rPr>
          <w:rFonts w:ascii="Arial" w:hAnsi="Arial" w:cs="Arial"/>
          <w:sz w:val="22"/>
          <w:szCs w:val="22"/>
        </w:rPr>
        <w:t>Impact measurement is crucial for organisations to fulfil their mission, enhance their credibility, make data-informed decisions, and continuously improve their work. It also benefits stakeholders and society by ensuring resources are used effectively and that organisations are held accountable for their actions.</w:t>
      </w:r>
    </w:p>
    <w:p w14:paraId="49D17705" w14:textId="77777777" w:rsidR="00BB459F" w:rsidRPr="002E6D03" w:rsidRDefault="00BB459F" w:rsidP="00BB459F">
      <w:pPr>
        <w:rPr>
          <w:rFonts w:ascii="Arial" w:hAnsi="Arial" w:cs="Arial"/>
          <w:sz w:val="22"/>
          <w:szCs w:val="22"/>
        </w:rPr>
      </w:pPr>
    </w:p>
    <w:p w14:paraId="03CFCDB1" w14:textId="77777777" w:rsidR="00BB459F" w:rsidRPr="002E6D03" w:rsidRDefault="00BB459F" w:rsidP="00BB459F">
      <w:pPr>
        <w:rPr>
          <w:rFonts w:ascii="Arial" w:hAnsi="Arial" w:cs="Arial"/>
          <w:sz w:val="22"/>
          <w:szCs w:val="22"/>
        </w:rPr>
      </w:pPr>
      <w:r w:rsidRPr="002E6D03">
        <w:rPr>
          <w:rFonts w:ascii="Arial" w:hAnsi="Arial" w:cs="Arial"/>
          <w:sz w:val="22"/>
          <w:szCs w:val="22"/>
        </w:rPr>
        <w:t>NPC has created a resource to help organisations in measuring, understanding, and improving their impact. It outlines a four-step cycle of good impact practice:</w:t>
      </w:r>
    </w:p>
    <w:p w14:paraId="5612AEBB" w14:textId="77777777" w:rsidR="00BB459F" w:rsidRPr="002E6D03" w:rsidRDefault="00BB459F" w:rsidP="00BB459F">
      <w:pPr>
        <w:rPr>
          <w:rFonts w:ascii="Arial" w:hAnsi="Arial" w:cs="Arial"/>
          <w:sz w:val="22"/>
          <w:szCs w:val="22"/>
        </w:rPr>
      </w:pPr>
    </w:p>
    <w:p w14:paraId="25C614F3" w14:textId="77777777" w:rsidR="00BB459F" w:rsidRPr="002E6D03" w:rsidRDefault="00BB459F" w:rsidP="00BB459F">
      <w:pPr>
        <w:numPr>
          <w:ilvl w:val="0"/>
          <w:numId w:val="5"/>
        </w:numPr>
        <w:rPr>
          <w:rFonts w:ascii="Arial" w:hAnsi="Arial" w:cs="Arial"/>
          <w:sz w:val="22"/>
          <w:szCs w:val="22"/>
        </w:rPr>
      </w:pPr>
      <w:r w:rsidRPr="002E6D03">
        <w:rPr>
          <w:rFonts w:ascii="Arial" w:hAnsi="Arial" w:cs="Arial"/>
          <w:b/>
          <w:bCs/>
          <w:sz w:val="22"/>
          <w:szCs w:val="22"/>
        </w:rPr>
        <w:t>Plan:</w:t>
      </w:r>
      <w:r w:rsidRPr="002E6D03">
        <w:rPr>
          <w:rFonts w:ascii="Arial" w:hAnsi="Arial" w:cs="Arial"/>
          <w:sz w:val="22"/>
          <w:szCs w:val="22"/>
        </w:rPr>
        <w:t xml:space="preserve"> Create a plan for achieving the desired impact.</w:t>
      </w:r>
    </w:p>
    <w:p w14:paraId="3B1E8006" w14:textId="77777777" w:rsidR="00BB459F" w:rsidRPr="002E6D03" w:rsidRDefault="00BB459F" w:rsidP="00BB459F">
      <w:pPr>
        <w:numPr>
          <w:ilvl w:val="0"/>
          <w:numId w:val="5"/>
        </w:numPr>
        <w:rPr>
          <w:rFonts w:ascii="Arial" w:hAnsi="Arial" w:cs="Arial"/>
          <w:sz w:val="22"/>
          <w:szCs w:val="22"/>
        </w:rPr>
      </w:pPr>
      <w:r w:rsidRPr="002E6D03">
        <w:rPr>
          <w:rFonts w:ascii="Arial" w:hAnsi="Arial" w:cs="Arial"/>
          <w:b/>
          <w:bCs/>
          <w:sz w:val="22"/>
          <w:szCs w:val="22"/>
        </w:rPr>
        <w:t>Do:</w:t>
      </w:r>
      <w:r w:rsidRPr="002E6D03">
        <w:rPr>
          <w:rFonts w:ascii="Arial" w:hAnsi="Arial" w:cs="Arial"/>
          <w:sz w:val="22"/>
          <w:szCs w:val="22"/>
        </w:rPr>
        <w:t xml:space="preserve"> Measure performance against key goals.</w:t>
      </w:r>
    </w:p>
    <w:p w14:paraId="1C22468A" w14:textId="77777777" w:rsidR="00BB459F" w:rsidRPr="002E6D03" w:rsidRDefault="00BB459F" w:rsidP="00BB459F">
      <w:pPr>
        <w:numPr>
          <w:ilvl w:val="0"/>
          <w:numId w:val="5"/>
        </w:numPr>
        <w:rPr>
          <w:rFonts w:ascii="Arial" w:hAnsi="Arial" w:cs="Arial"/>
          <w:sz w:val="22"/>
          <w:szCs w:val="22"/>
        </w:rPr>
      </w:pPr>
      <w:r w:rsidRPr="002E6D03">
        <w:rPr>
          <w:rFonts w:ascii="Arial" w:hAnsi="Arial" w:cs="Arial"/>
          <w:b/>
          <w:bCs/>
          <w:sz w:val="22"/>
          <w:szCs w:val="22"/>
        </w:rPr>
        <w:t>Assess:</w:t>
      </w:r>
      <w:r w:rsidRPr="002E6D03">
        <w:rPr>
          <w:rFonts w:ascii="Arial" w:hAnsi="Arial" w:cs="Arial"/>
          <w:sz w:val="22"/>
          <w:szCs w:val="22"/>
        </w:rPr>
        <w:t xml:space="preserve"> Make sense of the collected data.</w:t>
      </w:r>
    </w:p>
    <w:p w14:paraId="69F8E63C" w14:textId="77777777" w:rsidR="00BB459F" w:rsidRPr="002E6D03" w:rsidRDefault="00BB459F" w:rsidP="00BB459F">
      <w:pPr>
        <w:numPr>
          <w:ilvl w:val="0"/>
          <w:numId w:val="5"/>
        </w:numPr>
        <w:rPr>
          <w:rFonts w:ascii="Arial" w:hAnsi="Arial" w:cs="Arial"/>
          <w:sz w:val="22"/>
          <w:szCs w:val="22"/>
        </w:rPr>
      </w:pPr>
      <w:r w:rsidRPr="002E6D03">
        <w:rPr>
          <w:rFonts w:ascii="Arial" w:hAnsi="Arial" w:cs="Arial"/>
          <w:b/>
          <w:bCs/>
          <w:sz w:val="22"/>
          <w:szCs w:val="22"/>
        </w:rPr>
        <w:t>Review:</w:t>
      </w:r>
      <w:r w:rsidRPr="002E6D03">
        <w:rPr>
          <w:rFonts w:ascii="Arial" w:hAnsi="Arial" w:cs="Arial"/>
          <w:sz w:val="22"/>
          <w:szCs w:val="22"/>
        </w:rPr>
        <w:t xml:space="preserve"> Communicate results and learn how to enhance work.</w:t>
      </w:r>
    </w:p>
    <w:p w14:paraId="0CA57E4A" w14:textId="77777777" w:rsidR="00BB459F" w:rsidRPr="002E6D03" w:rsidRDefault="00BB459F" w:rsidP="00BB459F">
      <w:pPr>
        <w:rPr>
          <w:rFonts w:ascii="Arial" w:hAnsi="Arial" w:cs="Arial"/>
          <w:sz w:val="22"/>
          <w:szCs w:val="22"/>
        </w:rPr>
      </w:pPr>
    </w:p>
    <w:p w14:paraId="55FF10EB" w14:textId="77777777" w:rsidR="00F82BC4" w:rsidRPr="002E6D03" w:rsidRDefault="00BB459F" w:rsidP="00BB459F">
      <w:pPr>
        <w:rPr>
          <w:rFonts w:ascii="Arial" w:hAnsi="Arial" w:cs="Arial"/>
          <w:sz w:val="22"/>
          <w:szCs w:val="22"/>
        </w:rPr>
      </w:pPr>
      <w:r w:rsidRPr="002E6D03">
        <w:rPr>
          <w:rFonts w:ascii="Arial" w:hAnsi="Arial" w:cs="Arial"/>
          <w:sz w:val="22"/>
          <w:szCs w:val="22"/>
        </w:rPr>
        <w:t xml:space="preserve">The resource encourages users to follow this cycle and offers additional resources to support impact practice, including a data diagnostic questionnaire, a jargon buster glossary, the code of good impact practice, and a self-assessment tool. Impact practice involves activities that focus on understanding and enhancing the impact an organisation has on the people it serves. </w:t>
      </w:r>
    </w:p>
    <w:p w14:paraId="636697CD" w14:textId="77777777" w:rsidR="00F82BC4" w:rsidRPr="002E6D03" w:rsidRDefault="00F82BC4" w:rsidP="00BB459F">
      <w:pPr>
        <w:rPr>
          <w:rFonts w:ascii="Arial" w:hAnsi="Arial" w:cs="Arial"/>
          <w:sz w:val="22"/>
          <w:szCs w:val="22"/>
        </w:rPr>
      </w:pPr>
    </w:p>
    <w:p w14:paraId="43EAA557" w14:textId="4492E3F0" w:rsidR="00BB459F" w:rsidRPr="002E6D03" w:rsidRDefault="00BB459F" w:rsidP="00BB459F">
      <w:pPr>
        <w:rPr>
          <w:rFonts w:ascii="Arial" w:hAnsi="Arial" w:cs="Arial"/>
          <w:sz w:val="22"/>
          <w:szCs w:val="22"/>
        </w:rPr>
      </w:pPr>
      <w:r w:rsidRPr="002E6D03">
        <w:rPr>
          <w:rFonts w:ascii="Arial" w:hAnsi="Arial" w:cs="Arial"/>
          <w:sz w:val="22"/>
          <w:szCs w:val="22"/>
        </w:rPr>
        <w:t>It encompasses planning, data collection, assessment, and continuous improvement. These resources aim to provide clear and practical guidance for organisations seeking to enhance their impact practices</w:t>
      </w:r>
      <w:r w:rsidR="00E720E8" w:rsidRPr="002E6D03">
        <w:rPr>
          <w:rFonts w:ascii="Arial" w:hAnsi="Arial" w:cs="Arial"/>
          <w:sz w:val="22"/>
          <w:szCs w:val="22"/>
        </w:rPr>
        <w:t xml:space="preserve">. </w:t>
      </w:r>
    </w:p>
    <w:p w14:paraId="1BD5C6E3" w14:textId="77777777" w:rsidR="00BB459F" w:rsidRPr="002E6D03" w:rsidRDefault="00BB459F" w:rsidP="00BB459F">
      <w:pPr>
        <w:rPr>
          <w:rFonts w:ascii="Arial" w:hAnsi="Arial" w:cs="Arial"/>
          <w:sz w:val="22"/>
          <w:szCs w:val="22"/>
        </w:rPr>
      </w:pPr>
    </w:p>
    <w:p w14:paraId="733BA27E" w14:textId="77777777" w:rsidR="00BB459F" w:rsidRPr="002E6D03" w:rsidRDefault="00F34F11" w:rsidP="00BB459F">
      <w:pPr>
        <w:rPr>
          <w:rFonts w:ascii="Arial" w:hAnsi="Arial" w:cs="Arial"/>
          <w:sz w:val="22"/>
          <w:szCs w:val="22"/>
        </w:rPr>
      </w:pPr>
      <w:hyperlink r:id="rId21" w:history="1">
        <w:r w:rsidR="00BB459F" w:rsidRPr="002E6D03">
          <w:rPr>
            <w:rStyle w:val="Hyperlink"/>
            <w:rFonts w:ascii="Arial" w:hAnsi="Arial" w:cs="Arial"/>
            <w:color w:val="auto"/>
            <w:sz w:val="22"/>
            <w:szCs w:val="22"/>
          </w:rPr>
          <w:t>Full guide here</w:t>
        </w:r>
      </w:hyperlink>
    </w:p>
    <w:p w14:paraId="71976F02" w14:textId="77777777" w:rsidR="00BB459F" w:rsidRPr="000536C9" w:rsidRDefault="00BB459F" w:rsidP="00D01795">
      <w:pPr>
        <w:rPr>
          <w:rFonts w:ascii="Arial" w:hAnsi="Arial" w:cs="Arial"/>
        </w:rPr>
      </w:pPr>
    </w:p>
    <w:p w14:paraId="30D6CB11" w14:textId="77777777" w:rsidR="00BC69E1" w:rsidRPr="000536C9" w:rsidRDefault="00BC69E1" w:rsidP="00D01795">
      <w:pPr>
        <w:rPr>
          <w:rFonts w:ascii="Arial" w:hAnsi="Arial" w:cs="Arial"/>
        </w:rPr>
      </w:pPr>
    </w:p>
    <w:sectPr w:rsidR="00BC69E1" w:rsidRPr="000536C9" w:rsidSect="009A4340">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0EAA" w14:textId="77777777" w:rsidR="00F5342B" w:rsidRDefault="00F5342B" w:rsidP="009A4340">
      <w:r>
        <w:separator/>
      </w:r>
    </w:p>
  </w:endnote>
  <w:endnote w:type="continuationSeparator" w:id="0">
    <w:p w14:paraId="66B8AF90" w14:textId="77777777" w:rsidR="00F5342B" w:rsidRDefault="00F5342B"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B127" w14:textId="77777777" w:rsidR="00F5342B" w:rsidRDefault="00F5342B" w:rsidP="009A4340">
      <w:r>
        <w:separator/>
      </w:r>
    </w:p>
  </w:footnote>
  <w:footnote w:type="continuationSeparator" w:id="0">
    <w:p w14:paraId="523BAB81" w14:textId="77777777" w:rsidR="00F5342B" w:rsidRDefault="00F5342B"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88A96A3" w:rsidR="009A4340" w:rsidRDefault="00296E21">
    <w:pPr>
      <w:pStyle w:val="Header"/>
    </w:pPr>
    <w:r w:rsidRPr="009A4340">
      <w:rPr>
        <w:noProof/>
      </w:rPr>
      <w:drawing>
        <wp:anchor distT="0" distB="0" distL="114300" distR="114300" simplePos="0" relativeHeight="251660288" behindDoc="0" locked="0" layoutInCell="1" allowOverlap="1" wp14:anchorId="2963E7B4" wp14:editId="06DF09E7">
          <wp:simplePos x="0" y="0"/>
          <wp:positionH relativeFrom="column">
            <wp:posOffset>4970780</wp:posOffset>
          </wp:positionH>
          <wp:positionV relativeFrom="paragraph">
            <wp:posOffset>-335280</wp:posOffset>
          </wp:positionV>
          <wp:extent cx="1969770" cy="596900"/>
          <wp:effectExtent l="0" t="0" r="0" b="0"/>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770" cy="5969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2336" behindDoc="0" locked="0" layoutInCell="1" allowOverlap="1" wp14:anchorId="5A3D59E2" wp14:editId="0F7079BC">
          <wp:simplePos x="0" y="0"/>
          <wp:positionH relativeFrom="column">
            <wp:posOffset>-266700</wp:posOffset>
          </wp:positionH>
          <wp:positionV relativeFrom="paragraph">
            <wp:posOffset>-191135</wp:posOffset>
          </wp:positionV>
          <wp:extent cx="2973705" cy="457200"/>
          <wp:effectExtent l="0" t="0" r="0" b="0"/>
          <wp:wrapSquare wrapText="bothSides"/>
          <wp:docPr id="1634404298" name="Picture 1" descr="Arts Council England: Transforming Governanc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rogramm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1F"/>
    <w:multiLevelType w:val="multilevel"/>
    <w:tmpl w:val="351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7459C"/>
    <w:multiLevelType w:val="hybridMultilevel"/>
    <w:tmpl w:val="83F2765A"/>
    <w:lvl w:ilvl="0" w:tplc="CF520EA6">
      <w:start w:val="1"/>
      <w:numFmt w:val="decimal"/>
      <w:lvlText w:val="%1."/>
      <w:lvlJc w:val="left"/>
      <w:pPr>
        <w:tabs>
          <w:tab w:val="num" w:pos="720"/>
        </w:tabs>
        <w:ind w:left="720" w:hanging="360"/>
      </w:pPr>
    </w:lvl>
    <w:lvl w:ilvl="1" w:tplc="4BB83F10">
      <w:start w:val="1"/>
      <w:numFmt w:val="decimal"/>
      <w:lvlText w:val="%2."/>
      <w:lvlJc w:val="left"/>
      <w:pPr>
        <w:tabs>
          <w:tab w:val="num" w:pos="1440"/>
        </w:tabs>
        <w:ind w:left="1440" w:hanging="360"/>
      </w:pPr>
    </w:lvl>
    <w:lvl w:ilvl="2" w:tplc="98825D8E">
      <w:start w:val="1"/>
      <w:numFmt w:val="decimal"/>
      <w:lvlText w:val="%3."/>
      <w:lvlJc w:val="left"/>
      <w:pPr>
        <w:tabs>
          <w:tab w:val="num" w:pos="2160"/>
        </w:tabs>
        <w:ind w:left="2160" w:hanging="360"/>
      </w:pPr>
    </w:lvl>
    <w:lvl w:ilvl="3" w:tplc="9DF42762">
      <w:start w:val="1"/>
      <w:numFmt w:val="decimal"/>
      <w:lvlText w:val="%4."/>
      <w:lvlJc w:val="left"/>
      <w:pPr>
        <w:tabs>
          <w:tab w:val="num" w:pos="2880"/>
        </w:tabs>
        <w:ind w:left="2880" w:hanging="360"/>
      </w:pPr>
    </w:lvl>
    <w:lvl w:ilvl="4" w:tplc="38E03BC2" w:tentative="1">
      <w:start w:val="1"/>
      <w:numFmt w:val="decimal"/>
      <w:lvlText w:val="%5."/>
      <w:lvlJc w:val="left"/>
      <w:pPr>
        <w:tabs>
          <w:tab w:val="num" w:pos="3600"/>
        </w:tabs>
        <w:ind w:left="3600" w:hanging="360"/>
      </w:pPr>
    </w:lvl>
    <w:lvl w:ilvl="5" w:tplc="FD486172" w:tentative="1">
      <w:start w:val="1"/>
      <w:numFmt w:val="decimal"/>
      <w:lvlText w:val="%6."/>
      <w:lvlJc w:val="left"/>
      <w:pPr>
        <w:tabs>
          <w:tab w:val="num" w:pos="4320"/>
        </w:tabs>
        <w:ind w:left="4320" w:hanging="360"/>
      </w:pPr>
    </w:lvl>
    <w:lvl w:ilvl="6" w:tplc="EE76A658" w:tentative="1">
      <w:start w:val="1"/>
      <w:numFmt w:val="decimal"/>
      <w:lvlText w:val="%7."/>
      <w:lvlJc w:val="left"/>
      <w:pPr>
        <w:tabs>
          <w:tab w:val="num" w:pos="5040"/>
        </w:tabs>
        <w:ind w:left="5040" w:hanging="360"/>
      </w:pPr>
    </w:lvl>
    <w:lvl w:ilvl="7" w:tplc="F970FBF6" w:tentative="1">
      <w:start w:val="1"/>
      <w:numFmt w:val="decimal"/>
      <w:lvlText w:val="%8."/>
      <w:lvlJc w:val="left"/>
      <w:pPr>
        <w:tabs>
          <w:tab w:val="num" w:pos="5760"/>
        </w:tabs>
        <w:ind w:left="5760" w:hanging="360"/>
      </w:pPr>
    </w:lvl>
    <w:lvl w:ilvl="8" w:tplc="B0B6EB90" w:tentative="1">
      <w:start w:val="1"/>
      <w:numFmt w:val="decimal"/>
      <w:lvlText w:val="%9."/>
      <w:lvlJc w:val="left"/>
      <w:pPr>
        <w:tabs>
          <w:tab w:val="num" w:pos="6480"/>
        </w:tabs>
        <w:ind w:left="6480" w:hanging="360"/>
      </w:pPr>
    </w:lvl>
  </w:abstractNum>
  <w:abstractNum w:abstractNumId="2" w15:restartNumberingAfterBreak="0">
    <w:nsid w:val="0D791124"/>
    <w:multiLevelType w:val="hybridMultilevel"/>
    <w:tmpl w:val="5426B27E"/>
    <w:lvl w:ilvl="0" w:tplc="3A66C8E4">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1B1B"/>
    <w:multiLevelType w:val="hybridMultilevel"/>
    <w:tmpl w:val="069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1C23"/>
    <w:multiLevelType w:val="hybridMultilevel"/>
    <w:tmpl w:val="25D8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E59F1"/>
    <w:multiLevelType w:val="multilevel"/>
    <w:tmpl w:val="87F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153DF"/>
    <w:multiLevelType w:val="hybridMultilevel"/>
    <w:tmpl w:val="938A9C66"/>
    <w:lvl w:ilvl="0" w:tplc="9A30C300">
      <w:start w:val="1"/>
      <w:numFmt w:val="bullet"/>
      <w:lvlText w:val="•"/>
      <w:lvlJc w:val="left"/>
      <w:pPr>
        <w:tabs>
          <w:tab w:val="num" w:pos="720"/>
        </w:tabs>
        <w:ind w:left="720" w:hanging="360"/>
      </w:pPr>
      <w:rPr>
        <w:rFonts w:ascii="Arial" w:hAnsi="Arial" w:hint="default"/>
      </w:rPr>
    </w:lvl>
    <w:lvl w:ilvl="1" w:tplc="64F0BEBE" w:tentative="1">
      <w:start w:val="1"/>
      <w:numFmt w:val="bullet"/>
      <w:lvlText w:val="•"/>
      <w:lvlJc w:val="left"/>
      <w:pPr>
        <w:tabs>
          <w:tab w:val="num" w:pos="1440"/>
        </w:tabs>
        <w:ind w:left="1440" w:hanging="360"/>
      </w:pPr>
      <w:rPr>
        <w:rFonts w:ascii="Arial" w:hAnsi="Arial" w:hint="default"/>
      </w:rPr>
    </w:lvl>
    <w:lvl w:ilvl="2" w:tplc="1DD85380" w:tentative="1">
      <w:start w:val="1"/>
      <w:numFmt w:val="bullet"/>
      <w:lvlText w:val="•"/>
      <w:lvlJc w:val="left"/>
      <w:pPr>
        <w:tabs>
          <w:tab w:val="num" w:pos="2160"/>
        </w:tabs>
        <w:ind w:left="2160" w:hanging="360"/>
      </w:pPr>
      <w:rPr>
        <w:rFonts w:ascii="Arial" w:hAnsi="Arial" w:hint="default"/>
      </w:rPr>
    </w:lvl>
    <w:lvl w:ilvl="3" w:tplc="AAEE017E" w:tentative="1">
      <w:start w:val="1"/>
      <w:numFmt w:val="bullet"/>
      <w:lvlText w:val="•"/>
      <w:lvlJc w:val="left"/>
      <w:pPr>
        <w:tabs>
          <w:tab w:val="num" w:pos="2880"/>
        </w:tabs>
        <w:ind w:left="2880" w:hanging="360"/>
      </w:pPr>
      <w:rPr>
        <w:rFonts w:ascii="Arial" w:hAnsi="Arial" w:hint="default"/>
      </w:rPr>
    </w:lvl>
    <w:lvl w:ilvl="4" w:tplc="86FC086A" w:tentative="1">
      <w:start w:val="1"/>
      <w:numFmt w:val="bullet"/>
      <w:lvlText w:val="•"/>
      <w:lvlJc w:val="left"/>
      <w:pPr>
        <w:tabs>
          <w:tab w:val="num" w:pos="3600"/>
        </w:tabs>
        <w:ind w:left="3600" w:hanging="360"/>
      </w:pPr>
      <w:rPr>
        <w:rFonts w:ascii="Arial" w:hAnsi="Arial" w:hint="default"/>
      </w:rPr>
    </w:lvl>
    <w:lvl w:ilvl="5" w:tplc="19D8BF94" w:tentative="1">
      <w:start w:val="1"/>
      <w:numFmt w:val="bullet"/>
      <w:lvlText w:val="•"/>
      <w:lvlJc w:val="left"/>
      <w:pPr>
        <w:tabs>
          <w:tab w:val="num" w:pos="4320"/>
        </w:tabs>
        <w:ind w:left="4320" w:hanging="360"/>
      </w:pPr>
      <w:rPr>
        <w:rFonts w:ascii="Arial" w:hAnsi="Arial" w:hint="default"/>
      </w:rPr>
    </w:lvl>
    <w:lvl w:ilvl="6" w:tplc="3C141C02" w:tentative="1">
      <w:start w:val="1"/>
      <w:numFmt w:val="bullet"/>
      <w:lvlText w:val="•"/>
      <w:lvlJc w:val="left"/>
      <w:pPr>
        <w:tabs>
          <w:tab w:val="num" w:pos="5040"/>
        </w:tabs>
        <w:ind w:left="5040" w:hanging="360"/>
      </w:pPr>
      <w:rPr>
        <w:rFonts w:ascii="Arial" w:hAnsi="Arial" w:hint="default"/>
      </w:rPr>
    </w:lvl>
    <w:lvl w:ilvl="7" w:tplc="FDE60522" w:tentative="1">
      <w:start w:val="1"/>
      <w:numFmt w:val="bullet"/>
      <w:lvlText w:val="•"/>
      <w:lvlJc w:val="left"/>
      <w:pPr>
        <w:tabs>
          <w:tab w:val="num" w:pos="5760"/>
        </w:tabs>
        <w:ind w:left="5760" w:hanging="360"/>
      </w:pPr>
      <w:rPr>
        <w:rFonts w:ascii="Arial" w:hAnsi="Arial" w:hint="default"/>
      </w:rPr>
    </w:lvl>
    <w:lvl w:ilvl="8" w:tplc="2F1A7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FD30E9"/>
    <w:multiLevelType w:val="multilevel"/>
    <w:tmpl w:val="377C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E687E"/>
    <w:multiLevelType w:val="hybridMultilevel"/>
    <w:tmpl w:val="3A4AB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135A5"/>
    <w:multiLevelType w:val="multilevel"/>
    <w:tmpl w:val="85A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CA162C"/>
    <w:multiLevelType w:val="hybridMultilevel"/>
    <w:tmpl w:val="9B0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6220D"/>
    <w:multiLevelType w:val="hybridMultilevel"/>
    <w:tmpl w:val="55D2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61469"/>
    <w:multiLevelType w:val="hybridMultilevel"/>
    <w:tmpl w:val="8E2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5447D"/>
    <w:multiLevelType w:val="hybridMultilevel"/>
    <w:tmpl w:val="625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16" w15:restartNumberingAfterBreak="0">
    <w:nsid w:val="6B766F1E"/>
    <w:multiLevelType w:val="multilevel"/>
    <w:tmpl w:val="45E2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4C6FF7"/>
    <w:multiLevelType w:val="hybridMultilevel"/>
    <w:tmpl w:val="34C84CD0"/>
    <w:lvl w:ilvl="0" w:tplc="3FA04D5C">
      <w:start w:val="1"/>
      <w:numFmt w:val="bullet"/>
      <w:lvlText w:val="•"/>
      <w:lvlJc w:val="left"/>
      <w:pPr>
        <w:tabs>
          <w:tab w:val="num" w:pos="720"/>
        </w:tabs>
        <w:ind w:left="720" w:hanging="360"/>
      </w:pPr>
      <w:rPr>
        <w:rFonts w:ascii="Arial" w:hAnsi="Arial" w:hint="default"/>
      </w:rPr>
    </w:lvl>
    <w:lvl w:ilvl="1" w:tplc="39DCF71C" w:tentative="1">
      <w:start w:val="1"/>
      <w:numFmt w:val="bullet"/>
      <w:lvlText w:val="•"/>
      <w:lvlJc w:val="left"/>
      <w:pPr>
        <w:tabs>
          <w:tab w:val="num" w:pos="1440"/>
        </w:tabs>
        <w:ind w:left="1440" w:hanging="360"/>
      </w:pPr>
      <w:rPr>
        <w:rFonts w:ascii="Arial" w:hAnsi="Arial" w:hint="default"/>
      </w:rPr>
    </w:lvl>
    <w:lvl w:ilvl="2" w:tplc="993069F4" w:tentative="1">
      <w:start w:val="1"/>
      <w:numFmt w:val="bullet"/>
      <w:lvlText w:val="•"/>
      <w:lvlJc w:val="left"/>
      <w:pPr>
        <w:tabs>
          <w:tab w:val="num" w:pos="2160"/>
        </w:tabs>
        <w:ind w:left="2160" w:hanging="360"/>
      </w:pPr>
      <w:rPr>
        <w:rFonts w:ascii="Arial" w:hAnsi="Arial" w:hint="default"/>
      </w:rPr>
    </w:lvl>
    <w:lvl w:ilvl="3" w:tplc="51B60FEE" w:tentative="1">
      <w:start w:val="1"/>
      <w:numFmt w:val="bullet"/>
      <w:lvlText w:val="•"/>
      <w:lvlJc w:val="left"/>
      <w:pPr>
        <w:tabs>
          <w:tab w:val="num" w:pos="2880"/>
        </w:tabs>
        <w:ind w:left="2880" w:hanging="360"/>
      </w:pPr>
      <w:rPr>
        <w:rFonts w:ascii="Arial" w:hAnsi="Arial" w:hint="default"/>
      </w:rPr>
    </w:lvl>
    <w:lvl w:ilvl="4" w:tplc="7440437E" w:tentative="1">
      <w:start w:val="1"/>
      <w:numFmt w:val="bullet"/>
      <w:lvlText w:val="•"/>
      <w:lvlJc w:val="left"/>
      <w:pPr>
        <w:tabs>
          <w:tab w:val="num" w:pos="3600"/>
        </w:tabs>
        <w:ind w:left="3600" w:hanging="360"/>
      </w:pPr>
      <w:rPr>
        <w:rFonts w:ascii="Arial" w:hAnsi="Arial" w:hint="default"/>
      </w:rPr>
    </w:lvl>
    <w:lvl w:ilvl="5" w:tplc="87DA474C" w:tentative="1">
      <w:start w:val="1"/>
      <w:numFmt w:val="bullet"/>
      <w:lvlText w:val="•"/>
      <w:lvlJc w:val="left"/>
      <w:pPr>
        <w:tabs>
          <w:tab w:val="num" w:pos="4320"/>
        </w:tabs>
        <w:ind w:left="4320" w:hanging="360"/>
      </w:pPr>
      <w:rPr>
        <w:rFonts w:ascii="Arial" w:hAnsi="Arial" w:hint="default"/>
      </w:rPr>
    </w:lvl>
    <w:lvl w:ilvl="6" w:tplc="85FA6EC4" w:tentative="1">
      <w:start w:val="1"/>
      <w:numFmt w:val="bullet"/>
      <w:lvlText w:val="•"/>
      <w:lvlJc w:val="left"/>
      <w:pPr>
        <w:tabs>
          <w:tab w:val="num" w:pos="5040"/>
        </w:tabs>
        <w:ind w:left="5040" w:hanging="360"/>
      </w:pPr>
      <w:rPr>
        <w:rFonts w:ascii="Arial" w:hAnsi="Arial" w:hint="default"/>
      </w:rPr>
    </w:lvl>
    <w:lvl w:ilvl="7" w:tplc="F7900416" w:tentative="1">
      <w:start w:val="1"/>
      <w:numFmt w:val="bullet"/>
      <w:lvlText w:val="•"/>
      <w:lvlJc w:val="left"/>
      <w:pPr>
        <w:tabs>
          <w:tab w:val="num" w:pos="5760"/>
        </w:tabs>
        <w:ind w:left="5760" w:hanging="360"/>
      </w:pPr>
      <w:rPr>
        <w:rFonts w:ascii="Arial" w:hAnsi="Arial" w:hint="default"/>
      </w:rPr>
    </w:lvl>
    <w:lvl w:ilvl="8" w:tplc="F7B6C0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44A9E"/>
    <w:multiLevelType w:val="multilevel"/>
    <w:tmpl w:val="C1F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C3EE0"/>
    <w:multiLevelType w:val="multilevel"/>
    <w:tmpl w:val="B62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5"/>
  </w:num>
  <w:num w:numId="2" w16cid:durableId="391468303">
    <w:abstractNumId w:val="20"/>
  </w:num>
  <w:num w:numId="3" w16cid:durableId="1553423180">
    <w:abstractNumId w:val="6"/>
  </w:num>
  <w:num w:numId="4" w16cid:durableId="1981424417">
    <w:abstractNumId w:val="0"/>
  </w:num>
  <w:num w:numId="5" w16cid:durableId="114033186">
    <w:abstractNumId w:val="16"/>
  </w:num>
  <w:num w:numId="6" w16cid:durableId="409229602">
    <w:abstractNumId w:val="12"/>
  </w:num>
  <w:num w:numId="7" w16cid:durableId="599725963">
    <w:abstractNumId w:val="11"/>
  </w:num>
  <w:num w:numId="8" w16cid:durableId="613943950">
    <w:abstractNumId w:val="9"/>
  </w:num>
  <w:num w:numId="9" w16cid:durableId="1374580478">
    <w:abstractNumId w:val="5"/>
  </w:num>
  <w:num w:numId="10" w16cid:durableId="2124957045">
    <w:abstractNumId w:val="19"/>
  </w:num>
  <w:num w:numId="11" w16cid:durableId="1011685256">
    <w:abstractNumId w:val="14"/>
  </w:num>
  <w:num w:numId="12" w16cid:durableId="600531416">
    <w:abstractNumId w:val="7"/>
  </w:num>
  <w:num w:numId="13" w16cid:durableId="464542095">
    <w:abstractNumId w:val="8"/>
  </w:num>
  <w:num w:numId="14" w16cid:durableId="629482700">
    <w:abstractNumId w:val="1"/>
  </w:num>
  <w:num w:numId="15" w16cid:durableId="1099569543">
    <w:abstractNumId w:val="18"/>
  </w:num>
  <w:num w:numId="16" w16cid:durableId="1665432906">
    <w:abstractNumId w:val="13"/>
  </w:num>
  <w:num w:numId="17" w16cid:durableId="205483294">
    <w:abstractNumId w:val="4"/>
  </w:num>
  <w:num w:numId="18" w16cid:durableId="963971553">
    <w:abstractNumId w:val="2"/>
  </w:num>
  <w:num w:numId="19" w16cid:durableId="1758094041">
    <w:abstractNumId w:val="17"/>
  </w:num>
  <w:num w:numId="20" w16cid:durableId="649409515">
    <w:abstractNumId w:val="10"/>
  </w:num>
  <w:num w:numId="21" w16cid:durableId="1158883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24C18"/>
    <w:rsid w:val="000536C9"/>
    <w:rsid w:val="000771B6"/>
    <w:rsid w:val="000F18EB"/>
    <w:rsid w:val="00110D42"/>
    <w:rsid w:val="00125C9A"/>
    <w:rsid w:val="00131ADC"/>
    <w:rsid w:val="00176D02"/>
    <w:rsid w:val="00182E90"/>
    <w:rsid w:val="001A505E"/>
    <w:rsid w:val="001C6927"/>
    <w:rsid w:val="001D112E"/>
    <w:rsid w:val="001F4252"/>
    <w:rsid w:val="001F7ACC"/>
    <w:rsid w:val="0020218A"/>
    <w:rsid w:val="0024172E"/>
    <w:rsid w:val="002676A3"/>
    <w:rsid w:val="002905E1"/>
    <w:rsid w:val="00296E21"/>
    <w:rsid w:val="002D7303"/>
    <w:rsid w:val="002E6D03"/>
    <w:rsid w:val="00355D2E"/>
    <w:rsid w:val="003639AA"/>
    <w:rsid w:val="003728D7"/>
    <w:rsid w:val="003D6625"/>
    <w:rsid w:val="003E1DB7"/>
    <w:rsid w:val="00420F72"/>
    <w:rsid w:val="00436E21"/>
    <w:rsid w:val="00455DCE"/>
    <w:rsid w:val="0046720C"/>
    <w:rsid w:val="004B3D45"/>
    <w:rsid w:val="004C735F"/>
    <w:rsid w:val="004F3E31"/>
    <w:rsid w:val="005155E6"/>
    <w:rsid w:val="00516F23"/>
    <w:rsid w:val="00531E05"/>
    <w:rsid w:val="00534696"/>
    <w:rsid w:val="005451E8"/>
    <w:rsid w:val="00565279"/>
    <w:rsid w:val="005805C1"/>
    <w:rsid w:val="00585528"/>
    <w:rsid w:val="005A579E"/>
    <w:rsid w:val="005F177F"/>
    <w:rsid w:val="006016F9"/>
    <w:rsid w:val="00602393"/>
    <w:rsid w:val="006260B8"/>
    <w:rsid w:val="00666130"/>
    <w:rsid w:val="00676511"/>
    <w:rsid w:val="006D59E0"/>
    <w:rsid w:val="006E49CD"/>
    <w:rsid w:val="0072203D"/>
    <w:rsid w:val="00755C35"/>
    <w:rsid w:val="007777BB"/>
    <w:rsid w:val="00815BC7"/>
    <w:rsid w:val="00832531"/>
    <w:rsid w:val="0083542B"/>
    <w:rsid w:val="008434DF"/>
    <w:rsid w:val="00863CD5"/>
    <w:rsid w:val="008777DF"/>
    <w:rsid w:val="00881154"/>
    <w:rsid w:val="008A0C41"/>
    <w:rsid w:val="008D0F85"/>
    <w:rsid w:val="008E3153"/>
    <w:rsid w:val="00904BEC"/>
    <w:rsid w:val="00924633"/>
    <w:rsid w:val="00927C9A"/>
    <w:rsid w:val="009578A2"/>
    <w:rsid w:val="00964629"/>
    <w:rsid w:val="00973803"/>
    <w:rsid w:val="00982E3D"/>
    <w:rsid w:val="00991E66"/>
    <w:rsid w:val="009A4340"/>
    <w:rsid w:val="009B5A0B"/>
    <w:rsid w:val="009C4388"/>
    <w:rsid w:val="009D6982"/>
    <w:rsid w:val="009F33E7"/>
    <w:rsid w:val="00A15A41"/>
    <w:rsid w:val="00A37D72"/>
    <w:rsid w:val="00A41390"/>
    <w:rsid w:val="00A64527"/>
    <w:rsid w:val="00A83964"/>
    <w:rsid w:val="00A844BD"/>
    <w:rsid w:val="00AF0C8D"/>
    <w:rsid w:val="00B11890"/>
    <w:rsid w:val="00B24493"/>
    <w:rsid w:val="00B46E52"/>
    <w:rsid w:val="00B913E8"/>
    <w:rsid w:val="00BA5415"/>
    <w:rsid w:val="00BA5A49"/>
    <w:rsid w:val="00BB198E"/>
    <w:rsid w:val="00BB459F"/>
    <w:rsid w:val="00BB7C43"/>
    <w:rsid w:val="00BC69E1"/>
    <w:rsid w:val="00BD1BB0"/>
    <w:rsid w:val="00C529DC"/>
    <w:rsid w:val="00C55345"/>
    <w:rsid w:val="00CE6D4B"/>
    <w:rsid w:val="00D01795"/>
    <w:rsid w:val="00D12A73"/>
    <w:rsid w:val="00D57CE6"/>
    <w:rsid w:val="00E2607C"/>
    <w:rsid w:val="00E6558A"/>
    <w:rsid w:val="00E720E8"/>
    <w:rsid w:val="00EC1BD9"/>
    <w:rsid w:val="00EE2ABB"/>
    <w:rsid w:val="00F22A0B"/>
    <w:rsid w:val="00F34F11"/>
    <w:rsid w:val="00F5342B"/>
    <w:rsid w:val="00F552CC"/>
    <w:rsid w:val="00F60EAB"/>
    <w:rsid w:val="00F80EBB"/>
    <w:rsid w:val="00F82BC4"/>
    <w:rsid w:val="00F968D0"/>
    <w:rsid w:val="00FA58E6"/>
    <w:rsid w:val="00FB4789"/>
    <w:rsid w:val="00FE3699"/>
    <w:rsid w:val="00FF63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6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4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Strong">
    <w:name w:val="Strong"/>
    <w:basedOn w:val="DefaultParagraphFont"/>
    <w:uiPriority w:val="22"/>
    <w:qFormat/>
    <w:rsid w:val="00BB459F"/>
    <w:rPr>
      <w:b/>
      <w:bCs/>
    </w:rPr>
  </w:style>
  <w:style w:type="paragraph" w:styleId="FootnoteText">
    <w:name w:val="footnote text"/>
    <w:basedOn w:val="Normal"/>
    <w:link w:val="FootnoteTextChar"/>
    <w:uiPriority w:val="99"/>
    <w:unhideWhenUsed/>
    <w:rsid w:val="00420F72"/>
    <w:rPr>
      <w:kern w:val="0"/>
      <w14:ligatures w14:val="none"/>
    </w:rPr>
  </w:style>
  <w:style w:type="character" w:customStyle="1" w:styleId="FootnoteTextChar">
    <w:name w:val="Footnote Text Char"/>
    <w:basedOn w:val="DefaultParagraphFont"/>
    <w:link w:val="FootnoteText"/>
    <w:uiPriority w:val="99"/>
    <w:rsid w:val="00420F72"/>
    <w:rPr>
      <w:kern w:val="0"/>
      <w14:ligatures w14:val="none"/>
    </w:rPr>
  </w:style>
  <w:style w:type="character" w:styleId="FootnoteReference">
    <w:name w:val="footnote reference"/>
    <w:basedOn w:val="DefaultParagraphFont"/>
    <w:uiPriority w:val="99"/>
    <w:unhideWhenUsed/>
    <w:rsid w:val="00420F72"/>
    <w:rPr>
      <w:vertAlign w:val="superscript"/>
    </w:rPr>
  </w:style>
  <w:style w:type="character" w:styleId="FollowedHyperlink">
    <w:name w:val="FollowedHyperlink"/>
    <w:basedOn w:val="DefaultParagraphFont"/>
    <w:uiPriority w:val="99"/>
    <w:semiHidden/>
    <w:unhideWhenUsed/>
    <w:rsid w:val="00420F72"/>
    <w:rPr>
      <w:color w:val="954F72" w:themeColor="followedHyperlink"/>
      <w:u w:val="single"/>
    </w:rPr>
  </w:style>
  <w:style w:type="paragraph" w:styleId="Title">
    <w:name w:val="Title"/>
    <w:basedOn w:val="Normal"/>
    <w:next w:val="Normal"/>
    <w:link w:val="TitleChar"/>
    <w:uiPriority w:val="10"/>
    <w:qFormat/>
    <w:rsid w:val="00436E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E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36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44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180438262">
      <w:bodyDiv w:val="1"/>
      <w:marLeft w:val="0"/>
      <w:marRight w:val="0"/>
      <w:marTop w:val="0"/>
      <w:marBottom w:val="0"/>
      <w:divBdr>
        <w:top w:val="none" w:sz="0" w:space="0" w:color="auto"/>
        <w:left w:val="none" w:sz="0" w:space="0" w:color="auto"/>
        <w:bottom w:val="none" w:sz="0" w:space="0" w:color="auto"/>
        <w:right w:val="none" w:sz="0" w:space="0" w:color="auto"/>
      </w:divBdr>
      <w:divsChild>
        <w:div w:id="518347846">
          <w:marLeft w:val="0"/>
          <w:marRight w:val="0"/>
          <w:marTop w:val="0"/>
          <w:marBottom w:val="0"/>
          <w:divBdr>
            <w:top w:val="none" w:sz="0" w:space="0" w:color="auto"/>
            <w:left w:val="none" w:sz="0" w:space="0" w:color="auto"/>
            <w:bottom w:val="none" w:sz="0" w:space="0" w:color="auto"/>
            <w:right w:val="none" w:sz="0" w:space="0" w:color="auto"/>
          </w:divBdr>
          <w:divsChild>
            <w:div w:id="1056200981">
              <w:marLeft w:val="0"/>
              <w:marRight w:val="0"/>
              <w:marTop w:val="0"/>
              <w:marBottom w:val="0"/>
              <w:divBdr>
                <w:top w:val="none" w:sz="0" w:space="0" w:color="auto"/>
                <w:left w:val="none" w:sz="0" w:space="0" w:color="auto"/>
                <w:bottom w:val="none" w:sz="0" w:space="0" w:color="auto"/>
                <w:right w:val="none" w:sz="0" w:space="0" w:color="auto"/>
              </w:divBdr>
              <w:divsChild>
                <w:div w:id="20479253">
                  <w:marLeft w:val="0"/>
                  <w:marRight w:val="0"/>
                  <w:marTop w:val="0"/>
                  <w:marBottom w:val="0"/>
                  <w:divBdr>
                    <w:top w:val="none" w:sz="0" w:space="0" w:color="auto"/>
                    <w:left w:val="none" w:sz="0" w:space="0" w:color="auto"/>
                    <w:bottom w:val="none" w:sz="0" w:space="0" w:color="auto"/>
                    <w:right w:val="none" w:sz="0" w:space="0" w:color="auto"/>
                  </w:divBdr>
                  <w:divsChild>
                    <w:div w:id="1773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8090">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355885982">
      <w:bodyDiv w:val="1"/>
      <w:marLeft w:val="0"/>
      <w:marRight w:val="0"/>
      <w:marTop w:val="0"/>
      <w:marBottom w:val="0"/>
      <w:divBdr>
        <w:top w:val="none" w:sz="0" w:space="0" w:color="auto"/>
        <w:left w:val="none" w:sz="0" w:space="0" w:color="auto"/>
        <w:bottom w:val="none" w:sz="0" w:space="0" w:color="auto"/>
        <w:right w:val="none" w:sz="0" w:space="0" w:color="auto"/>
      </w:divBdr>
    </w:div>
    <w:div w:id="381904803">
      <w:bodyDiv w:val="1"/>
      <w:marLeft w:val="0"/>
      <w:marRight w:val="0"/>
      <w:marTop w:val="0"/>
      <w:marBottom w:val="0"/>
      <w:divBdr>
        <w:top w:val="none" w:sz="0" w:space="0" w:color="auto"/>
        <w:left w:val="none" w:sz="0" w:space="0" w:color="auto"/>
        <w:bottom w:val="none" w:sz="0" w:space="0" w:color="auto"/>
        <w:right w:val="none" w:sz="0" w:space="0" w:color="auto"/>
      </w:divBdr>
      <w:divsChild>
        <w:div w:id="418528387">
          <w:marLeft w:val="446"/>
          <w:marRight w:val="0"/>
          <w:marTop w:val="0"/>
          <w:marBottom w:val="0"/>
          <w:divBdr>
            <w:top w:val="none" w:sz="0" w:space="0" w:color="auto"/>
            <w:left w:val="none" w:sz="0" w:space="0" w:color="auto"/>
            <w:bottom w:val="none" w:sz="0" w:space="0" w:color="auto"/>
            <w:right w:val="none" w:sz="0" w:space="0" w:color="auto"/>
          </w:divBdr>
        </w:div>
        <w:div w:id="705982037">
          <w:marLeft w:val="446"/>
          <w:marRight w:val="0"/>
          <w:marTop w:val="0"/>
          <w:marBottom w:val="0"/>
          <w:divBdr>
            <w:top w:val="none" w:sz="0" w:space="0" w:color="auto"/>
            <w:left w:val="none" w:sz="0" w:space="0" w:color="auto"/>
            <w:bottom w:val="none" w:sz="0" w:space="0" w:color="auto"/>
            <w:right w:val="none" w:sz="0" w:space="0" w:color="auto"/>
          </w:divBdr>
        </w:div>
        <w:div w:id="49157847">
          <w:marLeft w:val="446"/>
          <w:marRight w:val="0"/>
          <w:marTop w:val="0"/>
          <w:marBottom w:val="0"/>
          <w:divBdr>
            <w:top w:val="none" w:sz="0" w:space="0" w:color="auto"/>
            <w:left w:val="none" w:sz="0" w:space="0" w:color="auto"/>
            <w:bottom w:val="none" w:sz="0" w:space="0" w:color="auto"/>
            <w:right w:val="none" w:sz="0" w:space="0" w:color="auto"/>
          </w:divBdr>
        </w:div>
        <w:div w:id="1607999237">
          <w:marLeft w:val="446"/>
          <w:marRight w:val="0"/>
          <w:marTop w:val="0"/>
          <w:marBottom w:val="0"/>
          <w:divBdr>
            <w:top w:val="none" w:sz="0" w:space="0" w:color="auto"/>
            <w:left w:val="none" w:sz="0" w:space="0" w:color="auto"/>
            <w:bottom w:val="none" w:sz="0" w:space="0" w:color="auto"/>
            <w:right w:val="none" w:sz="0" w:space="0" w:color="auto"/>
          </w:divBdr>
        </w:div>
      </w:divsChild>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522327757">
      <w:bodyDiv w:val="1"/>
      <w:marLeft w:val="0"/>
      <w:marRight w:val="0"/>
      <w:marTop w:val="0"/>
      <w:marBottom w:val="0"/>
      <w:divBdr>
        <w:top w:val="none" w:sz="0" w:space="0" w:color="auto"/>
        <w:left w:val="none" w:sz="0" w:space="0" w:color="auto"/>
        <w:bottom w:val="none" w:sz="0" w:space="0" w:color="auto"/>
        <w:right w:val="none" w:sz="0" w:space="0" w:color="auto"/>
      </w:divBdr>
    </w:div>
    <w:div w:id="529222417">
      <w:bodyDiv w:val="1"/>
      <w:marLeft w:val="0"/>
      <w:marRight w:val="0"/>
      <w:marTop w:val="0"/>
      <w:marBottom w:val="0"/>
      <w:divBdr>
        <w:top w:val="none" w:sz="0" w:space="0" w:color="auto"/>
        <w:left w:val="none" w:sz="0" w:space="0" w:color="auto"/>
        <w:bottom w:val="none" w:sz="0" w:space="0" w:color="auto"/>
        <w:right w:val="none" w:sz="0" w:space="0" w:color="auto"/>
      </w:divBdr>
    </w:div>
    <w:div w:id="559630639">
      <w:bodyDiv w:val="1"/>
      <w:marLeft w:val="0"/>
      <w:marRight w:val="0"/>
      <w:marTop w:val="0"/>
      <w:marBottom w:val="0"/>
      <w:divBdr>
        <w:top w:val="none" w:sz="0" w:space="0" w:color="auto"/>
        <w:left w:val="none" w:sz="0" w:space="0" w:color="auto"/>
        <w:bottom w:val="none" w:sz="0" w:space="0" w:color="auto"/>
        <w:right w:val="none" w:sz="0" w:space="0" w:color="auto"/>
      </w:divBdr>
    </w:div>
    <w:div w:id="574511659">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1953882">
      <w:bodyDiv w:val="1"/>
      <w:marLeft w:val="0"/>
      <w:marRight w:val="0"/>
      <w:marTop w:val="0"/>
      <w:marBottom w:val="0"/>
      <w:divBdr>
        <w:top w:val="none" w:sz="0" w:space="0" w:color="auto"/>
        <w:left w:val="none" w:sz="0" w:space="0" w:color="auto"/>
        <w:bottom w:val="none" w:sz="0" w:space="0" w:color="auto"/>
        <w:right w:val="none" w:sz="0" w:space="0" w:color="auto"/>
      </w:divBdr>
    </w:div>
    <w:div w:id="668827044">
      <w:bodyDiv w:val="1"/>
      <w:marLeft w:val="0"/>
      <w:marRight w:val="0"/>
      <w:marTop w:val="0"/>
      <w:marBottom w:val="0"/>
      <w:divBdr>
        <w:top w:val="none" w:sz="0" w:space="0" w:color="auto"/>
        <w:left w:val="none" w:sz="0" w:space="0" w:color="auto"/>
        <w:bottom w:val="none" w:sz="0" w:space="0" w:color="auto"/>
        <w:right w:val="none" w:sz="0" w:space="0" w:color="auto"/>
      </w:divBdr>
    </w:div>
    <w:div w:id="702947428">
      <w:bodyDiv w:val="1"/>
      <w:marLeft w:val="0"/>
      <w:marRight w:val="0"/>
      <w:marTop w:val="0"/>
      <w:marBottom w:val="0"/>
      <w:divBdr>
        <w:top w:val="none" w:sz="0" w:space="0" w:color="auto"/>
        <w:left w:val="none" w:sz="0" w:space="0" w:color="auto"/>
        <w:bottom w:val="none" w:sz="0" w:space="0" w:color="auto"/>
        <w:right w:val="none" w:sz="0" w:space="0" w:color="auto"/>
      </w:divBdr>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60780755">
      <w:bodyDiv w:val="1"/>
      <w:marLeft w:val="0"/>
      <w:marRight w:val="0"/>
      <w:marTop w:val="0"/>
      <w:marBottom w:val="0"/>
      <w:divBdr>
        <w:top w:val="none" w:sz="0" w:space="0" w:color="auto"/>
        <w:left w:val="none" w:sz="0" w:space="0" w:color="auto"/>
        <w:bottom w:val="none" w:sz="0" w:space="0" w:color="auto"/>
        <w:right w:val="none" w:sz="0" w:space="0" w:color="auto"/>
      </w:divBdr>
    </w:div>
    <w:div w:id="909120208">
      <w:bodyDiv w:val="1"/>
      <w:marLeft w:val="0"/>
      <w:marRight w:val="0"/>
      <w:marTop w:val="0"/>
      <w:marBottom w:val="0"/>
      <w:divBdr>
        <w:top w:val="none" w:sz="0" w:space="0" w:color="auto"/>
        <w:left w:val="none" w:sz="0" w:space="0" w:color="auto"/>
        <w:bottom w:val="none" w:sz="0" w:space="0" w:color="auto"/>
        <w:right w:val="none" w:sz="0" w:space="0" w:color="auto"/>
      </w:divBdr>
    </w:div>
    <w:div w:id="909967506">
      <w:bodyDiv w:val="1"/>
      <w:marLeft w:val="0"/>
      <w:marRight w:val="0"/>
      <w:marTop w:val="0"/>
      <w:marBottom w:val="0"/>
      <w:divBdr>
        <w:top w:val="none" w:sz="0" w:space="0" w:color="auto"/>
        <w:left w:val="none" w:sz="0" w:space="0" w:color="auto"/>
        <w:bottom w:val="none" w:sz="0" w:space="0" w:color="auto"/>
        <w:right w:val="none" w:sz="0" w:space="0" w:color="auto"/>
      </w:divBdr>
      <w:divsChild>
        <w:div w:id="1385175590">
          <w:marLeft w:val="0"/>
          <w:marRight w:val="0"/>
          <w:marTop w:val="0"/>
          <w:marBottom w:val="0"/>
          <w:divBdr>
            <w:top w:val="none" w:sz="0" w:space="0" w:color="auto"/>
            <w:left w:val="none" w:sz="0" w:space="0" w:color="auto"/>
            <w:bottom w:val="none" w:sz="0" w:space="0" w:color="auto"/>
            <w:right w:val="none" w:sz="0" w:space="0" w:color="auto"/>
          </w:divBdr>
          <w:divsChild>
            <w:div w:id="275647941">
              <w:marLeft w:val="0"/>
              <w:marRight w:val="0"/>
              <w:marTop w:val="0"/>
              <w:marBottom w:val="0"/>
              <w:divBdr>
                <w:top w:val="none" w:sz="0" w:space="0" w:color="auto"/>
                <w:left w:val="none" w:sz="0" w:space="0" w:color="auto"/>
                <w:bottom w:val="none" w:sz="0" w:space="0" w:color="auto"/>
                <w:right w:val="none" w:sz="0" w:space="0" w:color="auto"/>
              </w:divBdr>
              <w:divsChild>
                <w:div w:id="1023171874">
                  <w:marLeft w:val="0"/>
                  <w:marRight w:val="0"/>
                  <w:marTop w:val="0"/>
                  <w:marBottom w:val="0"/>
                  <w:divBdr>
                    <w:top w:val="none" w:sz="0" w:space="0" w:color="auto"/>
                    <w:left w:val="none" w:sz="0" w:space="0" w:color="auto"/>
                    <w:bottom w:val="none" w:sz="0" w:space="0" w:color="auto"/>
                    <w:right w:val="none" w:sz="0" w:space="0" w:color="auto"/>
                  </w:divBdr>
                  <w:divsChild>
                    <w:div w:id="51464382">
                      <w:marLeft w:val="0"/>
                      <w:marRight w:val="0"/>
                      <w:marTop w:val="0"/>
                      <w:marBottom w:val="0"/>
                      <w:divBdr>
                        <w:top w:val="none" w:sz="0" w:space="0" w:color="auto"/>
                        <w:left w:val="none" w:sz="0" w:space="0" w:color="auto"/>
                        <w:bottom w:val="none" w:sz="0" w:space="0" w:color="auto"/>
                        <w:right w:val="none" w:sz="0" w:space="0" w:color="auto"/>
                      </w:divBdr>
                      <w:divsChild>
                        <w:div w:id="893078793">
                          <w:marLeft w:val="300"/>
                          <w:marRight w:val="300"/>
                          <w:marTop w:val="300"/>
                          <w:marBottom w:val="0"/>
                          <w:divBdr>
                            <w:top w:val="none" w:sz="0" w:space="0" w:color="auto"/>
                            <w:left w:val="none" w:sz="0" w:space="0" w:color="auto"/>
                            <w:bottom w:val="none" w:sz="0" w:space="0" w:color="auto"/>
                            <w:right w:val="none" w:sz="0" w:space="0" w:color="auto"/>
                          </w:divBdr>
                          <w:divsChild>
                            <w:div w:id="222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14554">
          <w:marLeft w:val="0"/>
          <w:marRight w:val="0"/>
          <w:marTop w:val="0"/>
          <w:marBottom w:val="0"/>
          <w:divBdr>
            <w:top w:val="none" w:sz="0" w:space="0" w:color="auto"/>
            <w:left w:val="none" w:sz="0" w:space="0" w:color="auto"/>
            <w:bottom w:val="none" w:sz="0" w:space="0" w:color="auto"/>
            <w:right w:val="none" w:sz="0" w:space="0" w:color="auto"/>
          </w:divBdr>
          <w:divsChild>
            <w:div w:id="1262564400">
              <w:marLeft w:val="0"/>
              <w:marRight w:val="0"/>
              <w:marTop w:val="0"/>
              <w:marBottom w:val="0"/>
              <w:divBdr>
                <w:top w:val="none" w:sz="0" w:space="0" w:color="auto"/>
                <w:left w:val="none" w:sz="0" w:space="0" w:color="auto"/>
                <w:bottom w:val="none" w:sz="0" w:space="0" w:color="auto"/>
                <w:right w:val="none" w:sz="0" w:space="0" w:color="auto"/>
              </w:divBdr>
              <w:divsChild>
                <w:div w:id="1957520566">
                  <w:marLeft w:val="0"/>
                  <w:marRight w:val="0"/>
                  <w:marTop w:val="0"/>
                  <w:marBottom w:val="0"/>
                  <w:divBdr>
                    <w:top w:val="none" w:sz="0" w:space="0" w:color="auto"/>
                    <w:left w:val="none" w:sz="0" w:space="0" w:color="auto"/>
                    <w:bottom w:val="none" w:sz="0" w:space="0" w:color="auto"/>
                    <w:right w:val="none" w:sz="0" w:space="0" w:color="auto"/>
                  </w:divBdr>
                  <w:divsChild>
                    <w:div w:id="1959069391">
                      <w:marLeft w:val="0"/>
                      <w:marRight w:val="0"/>
                      <w:marTop w:val="0"/>
                      <w:marBottom w:val="0"/>
                      <w:divBdr>
                        <w:top w:val="none" w:sz="0" w:space="0" w:color="auto"/>
                        <w:left w:val="none" w:sz="0" w:space="0" w:color="auto"/>
                        <w:bottom w:val="none" w:sz="0" w:space="0" w:color="auto"/>
                        <w:right w:val="none" w:sz="0" w:space="0" w:color="auto"/>
                      </w:divBdr>
                      <w:divsChild>
                        <w:div w:id="1051534128">
                          <w:marLeft w:val="300"/>
                          <w:marRight w:val="0"/>
                          <w:marTop w:val="0"/>
                          <w:marBottom w:val="0"/>
                          <w:divBdr>
                            <w:top w:val="none" w:sz="0" w:space="0" w:color="auto"/>
                            <w:left w:val="none" w:sz="0" w:space="0" w:color="auto"/>
                            <w:bottom w:val="none" w:sz="0" w:space="0" w:color="auto"/>
                            <w:right w:val="none" w:sz="0" w:space="0" w:color="auto"/>
                          </w:divBdr>
                          <w:divsChild>
                            <w:div w:id="1427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468">
                      <w:marLeft w:val="0"/>
                      <w:marRight w:val="0"/>
                      <w:marTop w:val="0"/>
                      <w:marBottom w:val="0"/>
                      <w:divBdr>
                        <w:top w:val="none" w:sz="0" w:space="0" w:color="auto"/>
                        <w:left w:val="none" w:sz="0" w:space="0" w:color="auto"/>
                        <w:bottom w:val="none" w:sz="0" w:space="0" w:color="auto"/>
                        <w:right w:val="none" w:sz="0" w:space="0" w:color="auto"/>
                      </w:divBdr>
                      <w:divsChild>
                        <w:div w:id="2121489782">
                          <w:marLeft w:val="300"/>
                          <w:marRight w:val="300"/>
                          <w:marTop w:val="0"/>
                          <w:marBottom w:val="150"/>
                          <w:divBdr>
                            <w:top w:val="none" w:sz="0" w:space="0" w:color="auto"/>
                            <w:left w:val="none" w:sz="0" w:space="0" w:color="auto"/>
                            <w:bottom w:val="none" w:sz="0" w:space="0" w:color="auto"/>
                            <w:right w:val="none" w:sz="0" w:space="0" w:color="auto"/>
                          </w:divBdr>
                          <w:divsChild>
                            <w:div w:id="9493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57739">
      <w:bodyDiv w:val="1"/>
      <w:marLeft w:val="0"/>
      <w:marRight w:val="0"/>
      <w:marTop w:val="0"/>
      <w:marBottom w:val="0"/>
      <w:divBdr>
        <w:top w:val="none" w:sz="0" w:space="0" w:color="auto"/>
        <w:left w:val="none" w:sz="0" w:space="0" w:color="auto"/>
        <w:bottom w:val="none" w:sz="0" w:space="0" w:color="auto"/>
        <w:right w:val="none" w:sz="0" w:space="0" w:color="auto"/>
      </w:divBdr>
    </w:div>
    <w:div w:id="979571849">
      <w:bodyDiv w:val="1"/>
      <w:marLeft w:val="0"/>
      <w:marRight w:val="0"/>
      <w:marTop w:val="0"/>
      <w:marBottom w:val="0"/>
      <w:divBdr>
        <w:top w:val="none" w:sz="0" w:space="0" w:color="auto"/>
        <w:left w:val="none" w:sz="0" w:space="0" w:color="auto"/>
        <w:bottom w:val="none" w:sz="0" w:space="0" w:color="auto"/>
        <w:right w:val="none" w:sz="0" w:space="0" w:color="auto"/>
      </w:divBdr>
      <w:divsChild>
        <w:div w:id="1888763313">
          <w:marLeft w:val="0"/>
          <w:marRight w:val="0"/>
          <w:marTop w:val="0"/>
          <w:marBottom w:val="0"/>
          <w:divBdr>
            <w:top w:val="none" w:sz="0" w:space="0" w:color="auto"/>
            <w:left w:val="none" w:sz="0" w:space="0" w:color="auto"/>
            <w:bottom w:val="none" w:sz="0" w:space="0" w:color="auto"/>
            <w:right w:val="none" w:sz="0" w:space="0" w:color="auto"/>
          </w:divBdr>
          <w:divsChild>
            <w:div w:id="941034256">
              <w:marLeft w:val="0"/>
              <w:marRight w:val="0"/>
              <w:marTop w:val="0"/>
              <w:marBottom w:val="0"/>
              <w:divBdr>
                <w:top w:val="none" w:sz="0" w:space="0" w:color="auto"/>
                <w:left w:val="none" w:sz="0" w:space="0" w:color="auto"/>
                <w:bottom w:val="none" w:sz="0" w:space="0" w:color="auto"/>
                <w:right w:val="none" w:sz="0" w:space="0" w:color="auto"/>
              </w:divBdr>
              <w:divsChild>
                <w:div w:id="116458287">
                  <w:marLeft w:val="0"/>
                  <w:marRight w:val="0"/>
                  <w:marTop w:val="0"/>
                  <w:marBottom w:val="0"/>
                  <w:divBdr>
                    <w:top w:val="none" w:sz="0" w:space="0" w:color="auto"/>
                    <w:left w:val="none" w:sz="0" w:space="0" w:color="auto"/>
                    <w:bottom w:val="none" w:sz="0" w:space="0" w:color="auto"/>
                    <w:right w:val="none" w:sz="0" w:space="0" w:color="auto"/>
                  </w:divBdr>
                  <w:divsChild>
                    <w:div w:id="154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3130">
      <w:bodyDiv w:val="1"/>
      <w:marLeft w:val="0"/>
      <w:marRight w:val="0"/>
      <w:marTop w:val="0"/>
      <w:marBottom w:val="0"/>
      <w:divBdr>
        <w:top w:val="none" w:sz="0" w:space="0" w:color="auto"/>
        <w:left w:val="none" w:sz="0" w:space="0" w:color="auto"/>
        <w:bottom w:val="none" w:sz="0" w:space="0" w:color="auto"/>
        <w:right w:val="none" w:sz="0" w:space="0" w:color="auto"/>
      </w:divBdr>
    </w:div>
    <w:div w:id="1063023663">
      <w:bodyDiv w:val="1"/>
      <w:marLeft w:val="0"/>
      <w:marRight w:val="0"/>
      <w:marTop w:val="0"/>
      <w:marBottom w:val="0"/>
      <w:divBdr>
        <w:top w:val="none" w:sz="0" w:space="0" w:color="auto"/>
        <w:left w:val="none" w:sz="0" w:space="0" w:color="auto"/>
        <w:bottom w:val="none" w:sz="0" w:space="0" w:color="auto"/>
        <w:right w:val="none" w:sz="0" w:space="0" w:color="auto"/>
      </w:divBdr>
    </w:div>
    <w:div w:id="117718485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539196531">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663760">
      <w:bodyDiv w:val="1"/>
      <w:marLeft w:val="0"/>
      <w:marRight w:val="0"/>
      <w:marTop w:val="0"/>
      <w:marBottom w:val="0"/>
      <w:divBdr>
        <w:top w:val="none" w:sz="0" w:space="0" w:color="auto"/>
        <w:left w:val="none" w:sz="0" w:space="0" w:color="auto"/>
        <w:bottom w:val="none" w:sz="0" w:space="0" w:color="auto"/>
        <w:right w:val="none" w:sz="0" w:space="0" w:color="auto"/>
      </w:divBdr>
    </w:div>
    <w:div w:id="1912733762">
      <w:bodyDiv w:val="1"/>
      <w:marLeft w:val="0"/>
      <w:marRight w:val="0"/>
      <w:marTop w:val="0"/>
      <w:marBottom w:val="0"/>
      <w:divBdr>
        <w:top w:val="none" w:sz="0" w:space="0" w:color="auto"/>
        <w:left w:val="none" w:sz="0" w:space="0" w:color="auto"/>
        <w:bottom w:val="none" w:sz="0" w:space="0" w:color="auto"/>
        <w:right w:val="none" w:sz="0" w:space="0" w:color="auto"/>
      </w:divBdr>
      <w:divsChild>
        <w:div w:id="2019303961">
          <w:marLeft w:val="446"/>
          <w:marRight w:val="0"/>
          <w:marTop w:val="0"/>
          <w:marBottom w:val="0"/>
          <w:divBdr>
            <w:top w:val="none" w:sz="0" w:space="0" w:color="auto"/>
            <w:left w:val="none" w:sz="0" w:space="0" w:color="auto"/>
            <w:bottom w:val="none" w:sz="0" w:space="0" w:color="auto"/>
            <w:right w:val="none" w:sz="0" w:space="0" w:color="auto"/>
          </w:divBdr>
        </w:div>
        <w:div w:id="1975912423">
          <w:marLeft w:val="446"/>
          <w:marRight w:val="0"/>
          <w:marTop w:val="0"/>
          <w:marBottom w:val="0"/>
          <w:divBdr>
            <w:top w:val="none" w:sz="0" w:space="0" w:color="auto"/>
            <w:left w:val="none" w:sz="0" w:space="0" w:color="auto"/>
            <w:bottom w:val="none" w:sz="0" w:space="0" w:color="auto"/>
            <w:right w:val="none" w:sz="0" w:space="0" w:color="auto"/>
          </w:divBdr>
        </w:div>
        <w:div w:id="978336888">
          <w:marLeft w:val="446"/>
          <w:marRight w:val="0"/>
          <w:marTop w:val="0"/>
          <w:marBottom w:val="0"/>
          <w:divBdr>
            <w:top w:val="none" w:sz="0" w:space="0" w:color="auto"/>
            <w:left w:val="none" w:sz="0" w:space="0" w:color="auto"/>
            <w:bottom w:val="none" w:sz="0" w:space="0" w:color="auto"/>
            <w:right w:val="none" w:sz="0" w:space="0" w:color="auto"/>
          </w:divBdr>
        </w:div>
        <w:div w:id="903294384">
          <w:marLeft w:val="446"/>
          <w:marRight w:val="0"/>
          <w:marTop w:val="0"/>
          <w:marBottom w:val="0"/>
          <w:divBdr>
            <w:top w:val="none" w:sz="0" w:space="0" w:color="auto"/>
            <w:left w:val="none" w:sz="0" w:space="0" w:color="auto"/>
            <w:bottom w:val="none" w:sz="0" w:space="0" w:color="auto"/>
            <w:right w:val="none" w:sz="0" w:space="0" w:color="auto"/>
          </w:divBdr>
        </w:div>
        <w:div w:id="1842042035">
          <w:marLeft w:val="446"/>
          <w:marRight w:val="0"/>
          <w:marTop w:val="0"/>
          <w:marBottom w:val="0"/>
          <w:divBdr>
            <w:top w:val="none" w:sz="0" w:space="0" w:color="auto"/>
            <w:left w:val="none" w:sz="0" w:space="0" w:color="auto"/>
            <w:bottom w:val="none" w:sz="0" w:space="0" w:color="auto"/>
            <w:right w:val="none" w:sz="0" w:space="0" w:color="auto"/>
          </w:divBdr>
        </w:div>
      </w:divsChild>
    </w:div>
    <w:div w:id="1932621018">
      <w:bodyDiv w:val="1"/>
      <w:marLeft w:val="0"/>
      <w:marRight w:val="0"/>
      <w:marTop w:val="0"/>
      <w:marBottom w:val="0"/>
      <w:divBdr>
        <w:top w:val="none" w:sz="0" w:space="0" w:color="auto"/>
        <w:left w:val="none" w:sz="0" w:space="0" w:color="auto"/>
        <w:bottom w:val="none" w:sz="0" w:space="0" w:color="auto"/>
        <w:right w:val="none" w:sz="0" w:space="0" w:color="auto"/>
      </w:divBdr>
    </w:div>
    <w:div w:id="1960717095">
      <w:bodyDiv w:val="1"/>
      <w:marLeft w:val="0"/>
      <w:marRight w:val="0"/>
      <w:marTop w:val="0"/>
      <w:marBottom w:val="0"/>
      <w:divBdr>
        <w:top w:val="none" w:sz="0" w:space="0" w:color="auto"/>
        <w:left w:val="none" w:sz="0" w:space="0" w:color="auto"/>
        <w:bottom w:val="none" w:sz="0" w:space="0" w:color="auto"/>
        <w:right w:val="none" w:sz="0" w:space="0" w:color="auto"/>
      </w:divBdr>
    </w:div>
    <w:div w:id="1987080575">
      <w:bodyDiv w:val="1"/>
      <w:marLeft w:val="0"/>
      <w:marRight w:val="0"/>
      <w:marTop w:val="0"/>
      <w:marBottom w:val="0"/>
      <w:divBdr>
        <w:top w:val="none" w:sz="0" w:space="0" w:color="auto"/>
        <w:left w:val="none" w:sz="0" w:space="0" w:color="auto"/>
        <w:bottom w:val="none" w:sz="0" w:space="0" w:color="auto"/>
        <w:right w:val="none" w:sz="0" w:space="0" w:color="auto"/>
      </w:divBdr>
    </w:div>
    <w:div w:id="2020737791">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t&amp;rct=j&amp;q=&amp;esrc=s&amp;source=web&amp;cd=&amp;ved=2ahUKEwjxg5rorbKCAxV8S0EAHeiHAWEQFnoECA8QAw&amp;url=https%3A%2F%2Fdonorbox.org%2Fnonprofit-blog%2Fnonprofit-swot-analysis%23%3A~%3Atext%3DYour%2520nonprofit%2520must%2520split%2520the%2Cyour%2520organization%2520address%2520each%2520issue.&amp;usg=AOvVaw1prQSKLDKgQP0n-hwxgBt3&amp;opi=89978449" TargetMode="External"/><Relationship Id="rId18" Type="http://schemas.openxmlformats.org/officeDocument/2006/relationships/hyperlink" Target="https://www.gov.uk/government/publications/charity-reporting-and-accounting-the-essentials-november-2016-cc15d" TargetMode="External"/><Relationship Id="rId3" Type="http://schemas.openxmlformats.org/officeDocument/2006/relationships/customXml" Target="../customXml/item3.xml"/><Relationship Id="rId21" Type="http://schemas.openxmlformats.org/officeDocument/2006/relationships/hyperlink" Target="https://www.thinknpc.org/starting-to-measure-your-impact/" TargetMode="External"/><Relationship Id="rId7" Type="http://schemas.openxmlformats.org/officeDocument/2006/relationships/webSettings" Target="webSettings.xml"/><Relationship Id="rId12" Type="http://schemas.openxmlformats.org/officeDocument/2006/relationships/hyperlink" Target="https://www.heritagefund.org.uk/funding/good-practice-guidance/business-plan-template-and-guidance" TargetMode="External"/><Relationship Id="rId17" Type="http://schemas.openxmlformats.org/officeDocument/2006/relationships/hyperlink" Target="https://www.gov.uk/government/publications/charities-and-risk-management-cc26/charities-and-risk-management-cc26" TargetMode="External"/><Relationship Id="rId2" Type="http://schemas.openxmlformats.org/officeDocument/2006/relationships/customXml" Target="../customXml/item2.xml"/><Relationship Id="rId16" Type="http://schemas.openxmlformats.org/officeDocument/2006/relationships/hyperlink" Target="default-source" TargetMode="External"/><Relationship Id="rId20" Type="http://schemas.openxmlformats.org/officeDocument/2006/relationships/hyperlink" Target="https://ciof.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norbox.org/nonprofit-blog/nonprofit-vision-state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conflicts-of-interest-a-guide-for-charity-trustees-cc29" TargetMode="External"/><Relationship Id="rId23" Type="http://schemas.openxmlformats.org/officeDocument/2006/relationships/fontTable" Target="fontTable.xml"/><Relationship Id="rId10" Type="http://schemas.openxmlformats.org/officeDocument/2006/relationships/hyperlink" Target="https://www.charityexcellence.co.uk/Home/BlogDetail?Link=Charity_Mission_And_Vision_Statements" TargetMode="External"/><Relationship Id="rId19" Type="http://schemas.openxmlformats.org/officeDocument/2006/relationships/hyperlink" Target="https://www.fundraisingregulato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yexcellence.co.uk/Home/BlogDetail?Link=UK_Charity_COVID19_Crisis_Survive_And_Thrive_Strategy_Tool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ABAA4-3B19-4492-A213-1FFC56FE1D0B}">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2.xml><?xml version="1.0" encoding="utf-8"?>
<ds:datastoreItem xmlns:ds="http://schemas.openxmlformats.org/officeDocument/2006/customXml" ds:itemID="{DF8FD13F-B79B-493B-89E7-6B38C830993C}">
  <ds:schemaRefs>
    <ds:schemaRef ds:uri="http://schemas.microsoft.com/sharepoint/v3/contenttype/forms"/>
  </ds:schemaRefs>
</ds:datastoreItem>
</file>

<file path=customXml/itemProps3.xml><?xml version="1.0" encoding="utf-8"?>
<ds:datastoreItem xmlns:ds="http://schemas.openxmlformats.org/officeDocument/2006/customXml" ds:itemID="{74407D6B-D618-4FF6-BC4B-70D48A9C98D7}"/>
</file>

<file path=docMetadata/LabelInfo.xml><?xml version="1.0" encoding="utf-8"?>
<clbl:labelList xmlns:clbl="http://schemas.microsoft.com/office/2020/mipLabelMetadata">
  <clbl:label id="{38aa748b-c011-4bd4-9b45-208b1d7cfd25}" enabled="1" method="Standard" siteId="{242ef33d-ef18-4a01-b294-0da2d8fc58e3}" contentBits="0"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Annie Jarvis</cp:lastModifiedBy>
  <cp:revision>23</cp:revision>
  <dcterms:created xsi:type="dcterms:W3CDTF">2023-11-30T09:56:00Z</dcterms:created>
  <dcterms:modified xsi:type="dcterms:W3CDTF">2023-12-08T12:17:00Z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