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7" w:type="dxa"/>
        <w:tblInd w:w="-72" w:type="dxa"/>
        <w:tblLook w:val="0000" w:firstRow="0" w:lastRow="0" w:firstColumn="0" w:lastColumn="0" w:noHBand="0" w:noVBand="0"/>
      </w:tblPr>
      <w:tblGrid>
        <w:gridCol w:w="1238"/>
        <w:gridCol w:w="7979"/>
      </w:tblGrid>
      <w:tr w:rsidR="00871E76" w:rsidRPr="006029FB" w:rsidTr="009614FA">
        <w:tc>
          <w:tcPr>
            <w:tcW w:w="9217" w:type="dxa"/>
            <w:gridSpan w:val="2"/>
            <w:shd w:val="clear" w:color="auto" w:fill="auto"/>
          </w:tcPr>
          <w:tbl>
            <w:tblPr>
              <w:tblW w:w="9000" w:type="dxa"/>
              <w:tblLook w:val="0000" w:firstRow="0" w:lastRow="0" w:firstColumn="0" w:lastColumn="0" w:noHBand="0" w:noVBand="0"/>
            </w:tblPr>
            <w:tblGrid>
              <w:gridCol w:w="900"/>
              <w:gridCol w:w="8100"/>
            </w:tblGrid>
            <w:tr w:rsidR="00871E76" w:rsidRPr="006029FB" w:rsidTr="009614FA">
              <w:tc>
                <w:tcPr>
                  <w:tcW w:w="900" w:type="dxa"/>
                  <w:shd w:val="clear" w:color="auto" w:fill="auto"/>
                </w:tcPr>
                <w:p w:rsidR="00871E76" w:rsidRPr="006029FB" w:rsidRDefault="00871E76" w:rsidP="009614FA">
                  <w:pPr>
                    <w:pStyle w:val="ACEBodyText"/>
                    <w:rPr>
                      <w:b/>
                    </w:rPr>
                  </w:pPr>
                </w:p>
                <w:p w:rsidR="00871E76" w:rsidRPr="006029FB" w:rsidRDefault="00871E76" w:rsidP="009614FA">
                  <w:pPr>
                    <w:pStyle w:val="ACEBodyText"/>
                    <w:rPr>
                      <w:b/>
                    </w:rPr>
                  </w:pPr>
                </w:p>
              </w:tc>
              <w:tc>
                <w:tcPr>
                  <w:tcW w:w="8100" w:type="dxa"/>
                  <w:shd w:val="clear" w:color="auto" w:fill="auto"/>
                </w:tcPr>
                <w:p w:rsidR="00871E76" w:rsidRDefault="00871E76" w:rsidP="009614FA">
                  <w:pPr>
                    <w:pStyle w:val="ACEBodyText"/>
                    <w:rPr>
                      <w:b/>
                    </w:rPr>
                  </w:pPr>
                  <w:r>
                    <w:rPr>
                      <w:b/>
                      <w:noProof/>
                    </w:rPr>
                    <w:drawing>
                      <wp:anchor distT="0" distB="0" distL="114300" distR="114300" simplePos="0" relativeHeight="251659264" behindDoc="0" locked="0" layoutInCell="1" allowOverlap="1" wp14:anchorId="7251ED54" wp14:editId="4C0AA90D">
                        <wp:simplePos x="0" y="0"/>
                        <wp:positionH relativeFrom="column">
                          <wp:posOffset>4555490</wp:posOffset>
                        </wp:positionH>
                        <wp:positionV relativeFrom="paragraph">
                          <wp:posOffset>-895350</wp:posOffset>
                        </wp:positionV>
                        <wp:extent cx="819150" cy="809625"/>
                        <wp:effectExtent l="0" t="0" r="0" b="9525"/>
                        <wp:wrapNone/>
                        <wp:docPr id="1" name="Picture 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9FB">
                    <w:rPr>
                      <w:b/>
                    </w:rPr>
                    <w:t>Remuneration Committee</w:t>
                  </w:r>
                  <w:r>
                    <w:rPr>
                      <w:b/>
                    </w:rPr>
                    <w:t xml:space="preserve"> Terms of Reference</w:t>
                  </w:r>
                </w:p>
                <w:p w:rsidR="00871E76" w:rsidRPr="00926070" w:rsidRDefault="009815CB" w:rsidP="009815CB">
                  <w:pPr>
                    <w:pStyle w:val="ACEBodyText"/>
                  </w:pPr>
                  <w:r>
                    <w:t>Revised May 2015</w:t>
                  </w:r>
                </w:p>
              </w:tc>
            </w:tr>
            <w:tr w:rsidR="00871E76" w:rsidRPr="006029FB" w:rsidTr="009614FA">
              <w:tc>
                <w:tcPr>
                  <w:tcW w:w="900" w:type="dxa"/>
                  <w:shd w:val="clear" w:color="auto" w:fill="DBE5F1"/>
                </w:tcPr>
                <w:p w:rsidR="00871E76" w:rsidRPr="006029FB" w:rsidRDefault="00871E76" w:rsidP="009614FA">
                  <w:pPr>
                    <w:pStyle w:val="ACEBodyText"/>
                    <w:rPr>
                      <w:b/>
                    </w:rPr>
                  </w:pPr>
                </w:p>
              </w:tc>
              <w:tc>
                <w:tcPr>
                  <w:tcW w:w="8100" w:type="dxa"/>
                  <w:shd w:val="clear" w:color="auto" w:fill="DBE5F1"/>
                </w:tcPr>
                <w:p w:rsidR="00871E76" w:rsidRPr="006029FB" w:rsidRDefault="00871E76" w:rsidP="009614FA">
                  <w:pPr>
                    <w:pStyle w:val="ACEBodyText"/>
                    <w:rPr>
                      <w:b/>
                    </w:rPr>
                  </w:pPr>
                  <w:r w:rsidRPr="006029FB">
                    <w:rPr>
                      <w:b/>
                    </w:rPr>
                    <w:t>Purpose</w:t>
                  </w:r>
                </w:p>
              </w:tc>
            </w:tr>
            <w:tr w:rsidR="00871E76" w:rsidRPr="006029FB" w:rsidTr="009614FA">
              <w:tc>
                <w:tcPr>
                  <w:tcW w:w="900" w:type="dxa"/>
                  <w:shd w:val="clear" w:color="auto" w:fill="auto"/>
                </w:tcPr>
                <w:p w:rsidR="00871E76" w:rsidRPr="006029FB" w:rsidRDefault="00871E76" w:rsidP="009614FA">
                  <w:pPr>
                    <w:pStyle w:val="ACEBodyText"/>
                  </w:pPr>
                  <w:r w:rsidRPr="006029FB">
                    <w:t>1.</w:t>
                  </w:r>
                </w:p>
              </w:tc>
              <w:tc>
                <w:tcPr>
                  <w:tcW w:w="8100" w:type="dxa"/>
                  <w:shd w:val="clear" w:color="auto" w:fill="auto"/>
                </w:tcPr>
                <w:p w:rsidR="00871E76" w:rsidRDefault="00871E76" w:rsidP="009614FA">
                  <w:pPr>
                    <w:pStyle w:val="ACEBodyText"/>
                  </w:pPr>
                  <w:r w:rsidRPr="006029FB">
                    <w:t xml:space="preserve">Arts Council England has established a Remuneration </w:t>
                  </w:r>
                  <w:r>
                    <w:t>C</w:t>
                  </w:r>
                  <w:r w:rsidRPr="006029FB">
                    <w:t xml:space="preserve">ommittee to oversee the pay, performance and </w:t>
                  </w:r>
                  <w:r>
                    <w:t>particular employment terms</w:t>
                  </w:r>
                  <w:r w:rsidRPr="006029FB">
                    <w:t xml:space="preserve"> of </w:t>
                  </w:r>
                  <w:r>
                    <w:t xml:space="preserve">senior </w:t>
                  </w:r>
                  <w:r w:rsidRPr="006029FB">
                    <w:t xml:space="preserve">staff </w:t>
                  </w:r>
                  <w:r>
                    <w:t xml:space="preserve">and the pay of </w:t>
                  </w:r>
                  <w:r w:rsidRPr="006029FB">
                    <w:t xml:space="preserve">the </w:t>
                  </w:r>
                  <w:r>
                    <w:t>Chairs of n</w:t>
                  </w:r>
                  <w:r w:rsidRPr="006029FB">
                    <w:t xml:space="preserve">ational and </w:t>
                  </w:r>
                  <w:r>
                    <w:t>area councils</w:t>
                  </w:r>
                  <w:r w:rsidRPr="006029FB">
                    <w:t xml:space="preserve">.  </w:t>
                  </w:r>
                </w:p>
                <w:p w:rsidR="00871E76" w:rsidRPr="006029FB" w:rsidRDefault="00871E76" w:rsidP="009614FA">
                  <w:pPr>
                    <w:pStyle w:val="ACEBodyText"/>
                  </w:pPr>
                </w:p>
              </w:tc>
            </w:tr>
            <w:tr w:rsidR="00871E76" w:rsidRPr="006029FB" w:rsidTr="009614FA">
              <w:tc>
                <w:tcPr>
                  <w:tcW w:w="900" w:type="dxa"/>
                  <w:shd w:val="clear" w:color="auto" w:fill="DBE5F1"/>
                </w:tcPr>
                <w:p w:rsidR="00871E76" w:rsidRPr="006029FB" w:rsidRDefault="00871E76" w:rsidP="009614FA">
                  <w:pPr>
                    <w:pStyle w:val="ACEBodyText"/>
                    <w:rPr>
                      <w:b/>
                    </w:rPr>
                  </w:pPr>
                </w:p>
              </w:tc>
              <w:tc>
                <w:tcPr>
                  <w:tcW w:w="8100" w:type="dxa"/>
                  <w:shd w:val="clear" w:color="auto" w:fill="DBE5F1"/>
                </w:tcPr>
                <w:p w:rsidR="00871E76" w:rsidRPr="006029FB" w:rsidRDefault="00871E76" w:rsidP="009614FA">
                  <w:pPr>
                    <w:pStyle w:val="ACEBodyText"/>
                    <w:rPr>
                      <w:b/>
                    </w:rPr>
                  </w:pPr>
                  <w:r w:rsidRPr="006029FB">
                    <w:rPr>
                      <w:b/>
                    </w:rPr>
                    <w:t>Re</w:t>
                  </w:r>
                  <w:r>
                    <w:rPr>
                      <w:b/>
                    </w:rPr>
                    <w:t>sponsibilities</w:t>
                  </w:r>
                </w:p>
              </w:tc>
            </w:tr>
            <w:tr w:rsidR="00871E76" w:rsidRPr="006029FB" w:rsidTr="009614FA">
              <w:tc>
                <w:tcPr>
                  <w:tcW w:w="900" w:type="dxa"/>
                  <w:shd w:val="clear" w:color="auto" w:fill="auto"/>
                </w:tcPr>
                <w:p w:rsidR="00871E76" w:rsidRPr="006029FB" w:rsidRDefault="00871E76" w:rsidP="009614FA">
                  <w:pPr>
                    <w:pStyle w:val="ACEBodyText"/>
                    <w:rPr>
                      <w:b/>
                    </w:rPr>
                  </w:pPr>
                  <w:r>
                    <w:rPr>
                      <w:b/>
                    </w:rPr>
                    <w:t>2.</w:t>
                  </w:r>
                </w:p>
              </w:tc>
              <w:tc>
                <w:tcPr>
                  <w:tcW w:w="8100" w:type="dxa"/>
                  <w:shd w:val="clear" w:color="auto" w:fill="auto"/>
                </w:tcPr>
                <w:p w:rsidR="00871E76" w:rsidRPr="006029FB" w:rsidRDefault="00871E76" w:rsidP="009614FA">
                  <w:pPr>
                    <w:pStyle w:val="ACEBodyText"/>
                    <w:rPr>
                      <w:b/>
                    </w:rPr>
                  </w:pPr>
                  <w:r>
                    <w:rPr>
                      <w:b/>
                    </w:rPr>
                    <w:t>Senior s</w:t>
                  </w:r>
                  <w:r w:rsidRPr="006029FB">
                    <w:rPr>
                      <w:b/>
                    </w:rPr>
                    <w:t xml:space="preserve">taff – </w:t>
                  </w:r>
                  <w:r>
                    <w:rPr>
                      <w:b/>
                    </w:rPr>
                    <w:t>remuneration and other employment terms</w:t>
                  </w:r>
                  <w:r w:rsidRPr="006029FB">
                    <w:rPr>
                      <w:b/>
                    </w:rPr>
                    <w:t xml:space="preserve"> </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Pr="006029FB" w:rsidRDefault="00871E76" w:rsidP="009614FA">
                  <w:pPr>
                    <w:pStyle w:val="ACEBodyText"/>
                  </w:pPr>
                </w:p>
              </w:tc>
            </w:tr>
            <w:tr w:rsidR="00871E76" w:rsidRPr="006029FB" w:rsidTr="009614FA">
              <w:tc>
                <w:tcPr>
                  <w:tcW w:w="900" w:type="dxa"/>
                  <w:shd w:val="clear" w:color="auto" w:fill="auto"/>
                </w:tcPr>
                <w:p w:rsidR="00871E76" w:rsidRPr="006029FB" w:rsidRDefault="00871E76" w:rsidP="009614FA">
                  <w:pPr>
                    <w:pStyle w:val="ACEBodyText"/>
                  </w:pPr>
                  <w:r>
                    <w:t>2.1</w:t>
                  </w:r>
                </w:p>
              </w:tc>
              <w:tc>
                <w:tcPr>
                  <w:tcW w:w="8100" w:type="dxa"/>
                  <w:shd w:val="clear" w:color="auto" w:fill="auto"/>
                </w:tcPr>
                <w:p w:rsidR="00871E76" w:rsidRPr="006029FB" w:rsidRDefault="00871E76" w:rsidP="009614FA">
                  <w:pPr>
                    <w:pStyle w:val="ACEBodyText"/>
                  </w:pPr>
                  <w:r>
                    <w:t>The Committee decides</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Pr="006029FB" w:rsidRDefault="00871E76" w:rsidP="009815CB">
                  <w:pPr>
                    <w:pStyle w:val="ACEBodyText"/>
                    <w:numPr>
                      <w:ilvl w:val="0"/>
                      <w:numId w:val="15"/>
                    </w:numPr>
                    <w:spacing w:line="320" w:lineRule="atLeast"/>
                  </w:pPr>
                  <w:r>
                    <w:t xml:space="preserve">on </w:t>
                  </w:r>
                  <w:r w:rsidRPr="006029FB">
                    <w:t xml:space="preserve">the </w:t>
                  </w:r>
                  <w:r>
                    <w:t xml:space="preserve">remuneration and particular employment terms </w:t>
                  </w:r>
                  <w:r w:rsidRPr="006029FB">
                    <w:t xml:space="preserve">which apply to </w:t>
                  </w:r>
                  <w:r w:rsidR="009815CB">
                    <w:t>members of Executive Board</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Pr="006029FB" w:rsidRDefault="00871E76" w:rsidP="00871E76">
                  <w:pPr>
                    <w:pStyle w:val="ACEBodyText"/>
                    <w:numPr>
                      <w:ilvl w:val="0"/>
                      <w:numId w:val="15"/>
                    </w:numPr>
                    <w:spacing w:line="320" w:lineRule="atLeast"/>
                  </w:pPr>
                  <w:r>
                    <w:t>on a review of the</w:t>
                  </w:r>
                  <w:r w:rsidRPr="006029FB">
                    <w:t xml:space="preserve"> annual performance against </w:t>
                  </w:r>
                  <w:r>
                    <w:t xml:space="preserve">organisational and individual </w:t>
                  </w:r>
                  <w:r w:rsidRPr="006029FB">
                    <w:t xml:space="preserve">objectives </w:t>
                  </w:r>
                  <w:r>
                    <w:t>of the Chief Executive, advised by the Chair of National Council</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Pr="006029FB" w:rsidRDefault="00871E76" w:rsidP="00871E76">
                  <w:pPr>
                    <w:pStyle w:val="ACEBodyText"/>
                    <w:numPr>
                      <w:ilvl w:val="0"/>
                      <w:numId w:val="15"/>
                    </w:numPr>
                    <w:spacing w:line="320" w:lineRule="atLeast"/>
                  </w:pPr>
                  <w:r>
                    <w:t xml:space="preserve">on </w:t>
                  </w:r>
                  <w:r w:rsidRPr="006029FB">
                    <w:t>performance related</w:t>
                  </w:r>
                  <w:r>
                    <w:t>, variable</w:t>
                  </w:r>
                  <w:r w:rsidRPr="006029FB">
                    <w:t xml:space="preserve"> pay for the Chief Executive, advised by the </w:t>
                  </w:r>
                  <w:r>
                    <w:t xml:space="preserve">National </w:t>
                  </w:r>
                  <w:r w:rsidRPr="006029FB">
                    <w:t>Chair</w:t>
                  </w:r>
                  <w:r>
                    <w:t>, including consolidated salary increases and non-consolidated lump sum payments</w:t>
                  </w:r>
                </w:p>
              </w:tc>
            </w:tr>
            <w:tr w:rsidR="00871E76" w:rsidRPr="006029FB" w:rsidTr="009614FA">
              <w:tc>
                <w:tcPr>
                  <w:tcW w:w="900" w:type="dxa"/>
                  <w:shd w:val="clear" w:color="auto" w:fill="auto"/>
                </w:tcPr>
                <w:p w:rsidR="00871E76" w:rsidRDefault="00871E76" w:rsidP="009614FA">
                  <w:pPr>
                    <w:pStyle w:val="ACEBodyText"/>
                  </w:pPr>
                </w:p>
              </w:tc>
              <w:tc>
                <w:tcPr>
                  <w:tcW w:w="8100" w:type="dxa"/>
                  <w:shd w:val="clear" w:color="auto" w:fill="auto"/>
                </w:tcPr>
                <w:p w:rsidR="00871E76" w:rsidRDefault="00871E76" w:rsidP="009815CB">
                  <w:pPr>
                    <w:pStyle w:val="ACEBodyText"/>
                    <w:numPr>
                      <w:ilvl w:val="0"/>
                      <w:numId w:val="15"/>
                    </w:numPr>
                    <w:spacing w:line="320" w:lineRule="atLeast"/>
                  </w:pPr>
                  <w:r>
                    <w:t xml:space="preserve">on a review of the annual performance against individual </w:t>
                  </w:r>
                  <w:r w:rsidRPr="006029FB">
                    <w:t xml:space="preserve">objectives </w:t>
                  </w:r>
                  <w:r>
                    <w:t xml:space="preserve">of </w:t>
                  </w:r>
                  <w:r w:rsidR="009815CB">
                    <w:t>other members of Executive Board</w:t>
                  </w:r>
                  <w:r>
                    <w:t>, advis</w:t>
                  </w:r>
                  <w:bookmarkStart w:id="0" w:name="_GoBack"/>
                  <w:bookmarkEnd w:id="0"/>
                  <w:r>
                    <w:t>ed by the Chief Executive</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Default="00871E76" w:rsidP="00871E76">
                  <w:pPr>
                    <w:pStyle w:val="ACEBodyText"/>
                    <w:numPr>
                      <w:ilvl w:val="0"/>
                      <w:numId w:val="15"/>
                    </w:numPr>
                    <w:spacing w:line="320" w:lineRule="atLeast"/>
                  </w:pPr>
                  <w:r>
                    <w:t xml:space="preserve">on </w:t>
                  </w:r>
                  <w:r w:rsidRPr="006029FB">
                    <w:t>performance related</w:t>
                  </w:r>
                  <w:r>
                    <w:t>, variable</w:t>
                  </w:r>
                  <w:r w:rsidRPr="006029FB">
                    <w:t xml:space="preserve"> pay for </w:t>
                  </w:r>
                  <w:r>
                    <w:t>the deputy chief executive and executive directors</w:t>
                  </w:r>
                  <w:r w:rsidRPr="006029FB">
                    <w:t>, advised by the Ch</w:t>
                  </w:r>
                  <w:r>
                    <w:t>ief Executive, including consoli</w:t>
                  </w:r>
                  <w:r w:rsidR="006E0BEA">
                    <w:t>dated salary increases and non-</w:t>
                  </w:r>
                  <w:r>
                    <w:t>consolidated lump sum payments</w:t>
                  </w:r>
                </w:p>
                <w:p w:rsidR="00871E76" w:rsidRDefault="00871E76" w:rsidP="009614FA">
                  <w:pPr>
                    <w:pStyle w:val="ACEBodyText"/>
                    <w:ind w:left="720"/>
                  </w:pPr>
                </w:p>
              </w:tc>
            </w:tr>
            <w:tr w:rsidR="00871E76" w:rsidRPr="006029FB" w:rsidTr="009614FA">
              <w:tc>
                <w:tcPr>
                  <w:tcW w:w="900" w:type="dxa"/>
                  <w:shd w:val="clear" w:color="auto" w:fill="auto"/>
                </w:tcPr>
                <w:p w:rsidR="00871E76" w:rsidRPr="006029FB" w:rsidRDefault="00871E76" w:rsidP="009614FA">
                  <w:pPr>
                    <w:pStyle w:val="ACEBodyText"/>
                  </w:pPr>
                  <w:r>
                    <w:t>2.2</w:t>
                  </w:r>
                </w:p>
              </w:tc>
              <w:tc>
                <w:tcPr>
                  <w:tcW w:w="8100" w:type="dxa"/>
                  <w:shd w:val="clear" w:color="auto" w:fill="auto"/>
                </w:tcPr>
                <w:p w:rsidR="00871E76" w:rsidRPr="006029FB" w:rsidRDefault="00871E76" w:rsidP="009614FA">
                  <w:pPr>
                    <w:pStyle w:val="ACEBodyText"/>
                    <w:ind w:left="57"/>
                  </w:pPr>
                  <w:r>
                    <w:t>The Committee will review the remuneration and employment terms of the senior staff in the context of the overall remuneration and employment terms framework for all Arts Council employees.</w:t>
                  </w:r>
                </w:p>
              </w:tc>
            </w:tr>
            <w:tr w:rsidR="00871E76" w:rsidRPr="005877CD" w:rsidTr="009614FA">
              <w:tc>
                <w:tcPr>
                  <w:tcW w:w="900" w:type="dxa"/>
                  <w:shd w:val="clear" w:color="auto" w:fill="auto"/>
                </w:tcPr>
                <w:p w:rsidR="00871E76" w:rsidRPr="005877CD" w:rsidRDefault="00871E76" w:rsidP="009614FA">
                  <w:pPr>
                    <w:pStyle w:val="ACEBodyText"/>
                    <w:rPr>
                      <w:b/>
                    </w:rPr>
                  </w:pPr>
                </w:p>
              </w:tc>
              <w:tc>
                <w:tcPr>
                  <w:tcW w:w="8100" w:type="dxa"/>
                  <w:shd w:val="clear" w:color="auto" w:fill="auto"/>
                </w:tcPr>
                <w:p w:rsidR="00871E76" w:rsidRPr="005877CD" w:rsidRDefault="00871E76" w:rsidP="009614FA">
                  <w:pPr>
                    <w:pStyle w:val="ACEBodyText"/>
                    <w:rPr>
                      <w:b/>
                    </w:rPr>
                  </w:pPr>
                </w:p>
              </w:tc>
            </w:tr>
            <w:tr w:rsidR="00871E76" w:rsidRPr="005877CD" w:rsidTr="009614FA">
              <w:tc>
                <w:tcPr>
                  <w:tcW w:w="900" w:type="dxa"/>
                  <w:shd w:val="clear" w:color="auto" w:fill="DBE5F1"/>
                </w:tcPr>
                <w:p w:rsidR="00871E76" w:rsidRPr="005877CD" w:rsidRDefault="00871E76" w:rsidP="009614FA">
                  <w:pPr>
                    <w:pStyle w:val="ACEBodyText"/>
                    <w:rPr>
                      <w:b/>
                    </w:rPr>
                  </w:pPr>
                  <w:r>
                    <w:rPr>
                      <w:b/>
                    </w:rPr>
                    <w:t>3</w:t>
                  </w:r>
                </w:p>
              </w:tc>
              <w:tc>
                <w:tcPr>
                  <w:tcW w:w="8100" w:type="dxa"/>
                  <w:shd w:val="clear" w:color="auto" w:fill="DBE5F1"/>
                </w:tcPr>
                <w:p w:rsidR="00871E76" w:rsidRPr="005877CD" w:rsidRDefault="00871E76" w:rsidP="009614FA">
                  <w:pPr>
                    <w:pStyle w:val="ACEBodyText"/>
                    <w:rPr>
                      <w:b/>
                    </w:rPr>
                  </w:pPr>
                  <w:r w:rsidRPr="005877CD">
                    <w:rPr>
                      <w:b/>
                    </w:rPr>
                    <w:t xml:space="preserve">Chairs of </w:t>
                  </w:r>
                  <w:r>
                    <w:rPr>
                      <w:b/>
                    </w:rPr>
                    <w:t>national and the area councils</w:t>
                  </w:r>
                </w:p>
              </w:tc>
            </w:tr>
            <w:tr w:rsidR="00871E76" w:rsidRPr="006029FB" w:rsidTr="009614FA">
              <w:tc>
                <w:tcPr>
                  <w:tcW w:w="900" w:type="dxa"/>
                  <w:shd w:val="clear" w:color="auto" w:fill="auto"/>
                </w:tcPr>
                <w:p w:rsidR="00871E76" w:rsidRPr="006029FB" w:rsidRDefault="00871E76" w:rsidP="009614FA">
                  <w:pPr>
                    <w:pStyle w:val="ACEBodyText"/>
                  </w:pPr>
                  <w:r>
                    <w:t>3.</w:t>
                  </w:r>
                  <w:r w:rsidRPr="006029FB">
                    <w:t>1</w:t>
                  </w:r>
                </w:p>
              </w:tc>
              <w:tc>
                <w:tcPr>
                  <w:tcW w:w="8100" w:type="dxa"/>
                  <w:shd w:val="clear" w:color="auto" w:fill="auto"/>
                </w:tcPr>
                <w:p w:rsidR="00871E76" w:rsidRDefault="00871E76" w:rsidP="009614FA">
                  <w:pPr>
                    <w:pStyle w:val="ACEBodyText"/>
                  </w:pPr>
                  <w:r w:rsidRPr="006029FB">
                    <w:t xml:space="preserve">Under the terms of the Royal Charter, the National Chair and chairs of </w:t>
                  </w:r>
                  <w:r>
                    <w:t>area</w:t>
                  </w:r>
                  <w:r w:rsidRPr="006029FB">
                    <w:t xml:space="preserve"> councils are permitted to receive remuneration in recognition of their role. The responsibility for establishing the rate of remuneration lies with the Secretary of State. The Secretary of States consults the Chair o</w:t>
                  </w:r>
                  <w:r>
                    <w:t xml:space="preserve">f National Council on changes to the </w:t>
                  </w:r>
                  <w:r w:rsidRPr="006029FB">
                    <w:t xml:space="preserve">remuneration for </w:t>
                  </w:r>
                  <w:r>
                    <w:t>area council chairs</w:t>
                  </w:r>
                  <w:r w:rsidRPr="006029FB">
                    <w:t>.</w:t>
                  </w:r>
                </w:p>
                <w:p w:rsidR="00871E76" w:rsidRPr="006029FB" w:rsidRDefault="00871E76" w:rsidP="009614FA">
                  <w:pPr>
                    <w:pStyle w:val="ACEBodyText"/>
                  </w:pPr>
                  <w:r w:rsidRPr="006029FB">
                    <w:lastRenderedPageBreak/>
                    <w:t xml:space="preserve"> </w:t>
                  </w:r>
                </w:p>
              </w:tc>
            </w:tr>
            <w:tr w:rsidR="00871E76" w:rsidRPr="006029FB" w:rsidTr="009614FA">
              <w:tc>
                <w:tcPr>
                  <w:tcW w:w="900" w:type="dxa"/>
                  <w:shd w:val="clear" w:color="auto" w:fill="auto"/>
                </w:tcPr>
                <w:p w:rsidR="00871E76" w:rsidRPr="006029FB" w:rsidRDefault="00871E76" w:rsidP="009614FA">
                  <w:pPr>
                    <w:pStyle w:val="ACEBodyText"/>
                  </w:pPr>
                  <w:r>
                    <w:lastRenderedPageBreak/>
                    <w:t>3.2</w:t>
                  </w:r>
                </w:p>
                <w:p w:rsidR="00871E76" w:rsidRPr="006029FB" w:rsidRDefault="00871E76" w:rsidP="009614FA">
                  <w:pPr>
                    <w:pStyle w:val="ACEBodyText"/>
                  </w:pPr>
                </w:p>
              </w:tc>
              <w:tc>
                <w:tcPr>
                  <w:tcW w:w="8100" w:type="dxa"/>
                  <w:shd w:val="clear" w:color="auto" w:fill="auto"/>
                </w:tcPr>
                <w:p w:rsidR="00871E76" w:rsidRPr="006029FB" w:rsidRDefault="00871E76" w:rsidP="009614FA">
                  <w:pPr>
                    <w:pStyle w:val="ACEBodyText"/>
                  </w:pPr>
                  <w:r w:rsidRPr="006029FB">
                    <w:t>The Committee</w:t>
                  </w:r>
                  <w:r>
                    <w:t xml:space="preserve"> </w:t>
                  </w:r>
                  <w:r w:rsidRPr="006029FB">
                    <w:t>maintain</w:t>
                  </w:r>
                  <w:r>
                    <w:t>s</w:t>
                  </w:r>
                  <w:r w:rsidRPr="006029FB">
                    <w:t xml:space="preserve"> an overview of the arrangements for the remuneration of chairs of </w:t>
                  </w:r>
                  <w:r>
                    <w:t xml:space="preserve">national and area councils. The Committee may advise the Chair of National Council on </w:t>
                  </w:r>
                  <w:r w:rsidRPr="006029FB">
                    <w:t>rates of remuneration, bearing in mind the overarching interests and responsibilities of the Council as a whole</w:t>
                  </w:r>
                  <w:r>
                    <w:t>.</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Pr="006029FB" w:rsidRDefault="00871E76" w:rsidP="009614FA">
                  <w:pPr>
                    <w:pStyle w:val="ACEBodyText"/>
                  </w:pPr>
                </w:p>
              </w:tc>
            </w:tr>
            <w:tr w:rsidR="00871E76" w:rsidRPr="005877CD" w:rsidTr="009614FA">
              <w:tc>
                <w:tcPr>
                  <w:tcW w:w="900" w:type="dxa"/>
                  <w:shd w:val="clear" w:color="auto" w:fill="DBE5F1"/>
                </w:tcPr>
                <w:p w:rsidR="00871E76" w:rsidRPr="005877CD" w:rsidRDefault="00871E76" w:rsidP="009614FA">
                  <w:pPr>
                    <w:pStyle w:val="ACEBodyText"/>
                    <w:rPr>
                      <w:b/>
                    </w:rPr>
                  </w:pPr>
                  <w:r>
                    <w:rPr>
                      <w:b/>
                    </w:rPr>
                    <w:t>4</w:t>
                  </w:r>
                </w:p>
              </w:tc>
              <w:tc>
                <w:tcPr>
                  <w:tcW w:w="8100" w:type="dxa"/>
                  <w:shd w:val="clear" w:color="auto" w:fill="DBE5F1"/>
                </w:tcPr>
                <w:p w:rsidR="00871E76" w:rsidRPr="005877CD" w:rsidRDefault="00871E76" w:rsidP="009614FA">
                  <w:pPr>
                    <w:pStyle w:val="ACEBodyText"/>
                    <w:rPr>
                      <w:b/>
                    </w:rPr>
                  </w:pPr>
                  <w:r w:rsidRPr="005877CD">
                    <w:rPr>
                      <w:b/>
                    </w:rPr>
                    <w:t>Delegated Authority</w:t>
                  </w:r>
                </w:p>
              </w:tc>
            </w:tr>
            <w:tr w:rsidR="00871E76" w:rsidRPr="006029FB" w:rsidTr="009614FA">
              <w:tc>
                <w:tcPr>
                  <w:tcW w:w="900" w:type="dxa"/>
                  <w:shd w:val="clear" w:color="auto" w:fill="auto"/>
                </w:tcPr>
                <w:p w:rsidR="00871E76" w:rsidRDefault="00871E76" w:rsidP="009614FA">
                  <w:pPr>
                    <w:pStyle w:val="ACEBodyText"/>
                  </w:pPr>
                  <w:r>
                    <w:t>4</w:t>
                  </w:r>
                  <w:r w:rsidRPr="006029FB">
                    <w:t>.</w:t>
                  </w:r>
                  <w:r>
                    <w:t>1</w:t>
                  </w:r>
                </w:p>
                <w:p w:rsidR="00871E76" w:rsidRDefault="00871E76" w:rsidP="009614FA">
                  <w:pPr>
                    <w:pStyle w:val="ACEBodyText"/>
                  </w:pPr>
                </w:p>
                <w:p w:rsidR="00871E76" w:rsidRDefault="00871E76" w:rsidP="009614FA">
                  <w:pPr>
                    <w:pStyle w:val="ACEBodyText"/>
                  </w:pPr>
                </w:p>
                <w:p w:rsidR="00871E76" w:rsidRPr="006029FB" w:rsidRDefault="00871E76" w:rsidP="009614FA">
                  <w:pPr>
                    <w:pStyle w:val="ACEBodyText"/>
                  </w:pPr>
                  <w:r>
                    <w:t>4.2</w:t>
                  </w:r>
                </w:p>
              </w:tc>
              <w:tc>
                <w:tcPr>
                  <w:tcW w:w="8100" w:type="dxa"/>
                  <w:shd w:val="clear" w:color="auto" w:fill="auto"/>
                </w:tcPr>
                <w:p w:rsidR="00871E76" w:rsidRDefault="00871E76" w:rsidP="009614FA">
                  <w:pPr>
                    <w:pStyle w:val="ACEBodyText"/>
                  </w:pPr>
                  <w:r w:rsidRPr="006029FB">
                    <w:t>The Committee has authority to act within the remit of these terms of reference.</w:t>
                  </w:r>
                </w:p>
                <w:p w:rsidR="00871E76" w:rsidRDefault="00871E76" w:rsidP="009614FA">
                  <w:pPr>
                    <w:pStyle w:val="ACEBodyText"/>
                  </w:pPr>
                </w:p>
                <w:p w:rsidR="00871E76" w:rsidRPr="006029FB" w:rsidRDefault="00871E76" w:rsidP="009614FA">
                  <w:pPr>
                    <w:pStyle w:val="ListParagraph"/>
                    <w:ind w:left="0"/>
                  </w:pPr>
                  <w:r>
                    <w:t>Remuneration Committee is responsible for ensuring that equality and diversity implications are considered on all matters that it decides.</w:t>
                  </w:r>
                </w:p>
              </w:tc>
            </w:tr>
            <w:tr w:rsidR="00871E76" w:rsidRPr="005877CD" w:rsidTr="009614FA">
              <w:tc>
                <w:tcPr>
                  <w:tcW w:w="900" w:type="dxa"/>
                  <w:shd w:val="clear" w:color="auto" w:fill="auto"/>
                </w:tcPr>
                <w:p w:rsidR="00871E76" w:rsidRPr="005877CD" w:rsidRDefault="00871E76" w:rsidP="009614FA">
                  <w:pPr>
                    <w:pStyle w:val="ACEBodyText"/>
                    <w:rPr>
                      <w:b/>
                    </w:rPr>
                  </w:pPr>
                </w:p>
              </w:tc>
              <w:tc>
                <w:tcPr>
                  <w:tcW w:w="8100" w:type="dxa"/>
                  <w:shd w:val="clear" w:color="auto" w:fill="auto"/>
                </w:tcPr>
                <w:p w:rsidR="00871E76" w:rsidRPr="005877CD" w:rsidRDefault="00871E76" w:rsidP="009614FA">
                  <w:pPr>
                    <w:pStyle w:val="ACEBodyText"/>
                    <w:rPr>
                      <w:b/>
                    </w:rPr>
                  </w:pPr>
                </w:p>
              </w:tc>
            </w:tr>
            <w:tr w:rsidR="00871E76" w:rsidRPr="005877CD" w:rsidTr="009614FA">
              <w:tc>
                <w:tcPr>
                  <w:tcW w:w="900" w:type="dxa"/>
                  <w:shd w:val="clear" w:color="auto" w:fill="DBE5F1"/>
                </w:tcPr>
                <w:p w:rsidR="00871E76" w:rsidRPr="005877CD" w:rsidRDefault="00871E76" w:rsidP="009614FA">
                  <w:pPr>
                    <w:pStyle w:val="ACEBodyText"/>
                    <w:rPr>
                      <w:b/>
                    </w:rPr>
                  </w:pPr>
                  <w:r>
                    <w:rPr>
                      <w:b/>
                    </w:rPr>
                    <w:t>5.</w:t>
                  </w:r>
                </w:p>
              </w:tc>
              <w:tc>
                <w:tcPr>
                  <w:tcW w:w="8100" w:type="dxa"/>
                  <w:shd w:val="clear" w:color="auto" w:fill="DBE5F1"/>
                </w:tcPr>
                <w:p w:rsidR="00871E76" w:rsidRPr="005877CD" w:rsidRDefault="00871E76" w:rsidP="009614FA">
                  <w:pPr>
                    <w:pStyle w:val="ACEBodyText"/>
                    <w:rPr>
                      <w:b/>
                    </w:rPr>
                  </w:pPr>
                  <w:r>
                    <w:rPr>
                      <w:b/>
                    </w:rPr>
                    <w:t>Frequency</w:t>
                  </w:r>
                </w:p>
              </w:tc>
            </w:tr>
            <w:tr w:rsidR="00871E76" w:rsidRPr="005877CD" w:rsidTr="009614FA">
              <w:tc>
                <w:tcPr>
                  <w:tcW w:w="900" w:type="dxa"/>
                  <w:shd w:val="clear" w:color="auto" w:fill="auto"/>
                </w:tcPr>
                <w:p w:rsidR="00871E76" w:rsidRPr="005877CD" w:rsidRDefault="00871E76" w:rsidP="009614FA">
                  <w:pPr>
                    <w:pStyle w:val="ACEBodyText"/>
                    <w:rPr>
                      <w:b/>
                    </w:rPr>
                  </w:pPr>
                  <w:r>
                    <w:t>5.1</w:t>
                  </w:r>
                </w:p>
              </w:tc>
              <w:tc>
                <w:tcPr>
                  <w:tcW w:w="8100" w:type="dxa"/>
                  <w:shd w:val="clear" w:color="auto" w:fill="auto"/>
                </w:tcPr>
                <w:p w:rsidR="00871E76" w:rsidRPr="003523C4" w:rsidRDefault="00871E76" w:rsidP="009614FA">
                  <w:pPr>
                    <w:pStyle w:val="ACEBodyText"/>
                  </w:pPr>
                  <w:r>
                    <w:t>The Committee will meet once a year or as needed.</w:t>
                  </w:r>
                </w:p>
              </w:tc>
            </w:tr>
            <w:tr w:rsidR="00871E76" w:rsidRPr="005877CD" w:rsidTr="009614FA">
              <w:tc>
                <w:tcPr>
                  <w:tcW w:w="900" w:type="dxa"/>
                  <w:shd w:val="clear" w:color="auto" w:fill="auto"/>
                </w:tcPr>
                <w:p w:rsidR="00871E76" w:rsidRPr="005877CD" w:rsidRDefault="00871E76" w:rsidP="009614FA">
                  <w:pPr>
                    <w:pStyle w:val="ACEBodyText"/>
                    <w:rPr>
                      <w:b/>
                    </w:rPr>
                  </w:pPr>
                </w:p>
              </w:tc>
              <w:tc>
                <w:tcPr>
                  <w:tcW w:w="8100" w:type="dxa"/>
                  <w:shd w:val="clear" w:color="auto" w:fill="auto"/>
                </w:tcPr>
                <w:p w:rsidR="00871E76" w:rsidRPr="005877CD" w:rsidRDefault="00871E76" w:rsidP="009614FA">
                  <w:pPr>
                    <w:pStyle w:val="ACEBodyText"/>
                    <w:rPr>
                      <w:b/>
                    </w:rPr>
                  </w:pPr>
                </w:p>
              </w:tc>
            </w:tr>
            <w:tr w:rsidR="00871E76" w:rsidRPr="005877CD" w:rsidTr="009614FA">
              <w:tc>
                <w:tcPr>
                  <w:tcW w:w="900" w:type="dxa"/>
                  <w:shd w:val="clear" w:color="auto" w:fill="DBE5F1"/>
                </w:tcPr>
                <w:p w:rsidR="00871E76" w:rsidRPr="005877CD" w:rsidRDefault="00871E76" w:rsidP="009614FA">
                  <w:pPr>
                    <w:pStyle w:val="ACEBodyText"/>
                    <w:rPr>
                      <w:b/>
                    </w:rPr>
                  </w:pPr>
                  <w:r>
                    <w:rPr>
                      <w:b/>
                    </w:rPr>
                    <w:t>6.</w:t>
                  </w:r>
                </w:p>
              </w:tc>
              <w:tc>
                <w:tcPr>
                  <w:tcW w:w="8100" w:type="dxa"/>
                  <w:shd w:val="clear" w:color="auto" w:fill="DBE5F1"/>
                </w:tcPr>
                <w:p w:rsidR="00871E76" w:rsidRPr="005877CD" w:rsidRDefault="00871E76" w:rsidP="009614FA">
                  <w:pPr>
                    <w:pStyle w:val="ACEBodyText"/>
                    <w:rPr>
                      <w:b/>
                    </w:rPr>
                  </w:pPr>
                  <w:r w:rsidRPr="005877CD">
                    <w:rPr>
                      <w:b/>
                    </w:rPr>
                    <w:t>Reporting Line</w:t>
                  </w:r>
                </w:p>
              </w:tc>
            </w:tr>
            <w:tr w:rsidR="00871E76" w:rsidRPr="006029FB" w:rsidTr="009614FA">
              <w:tc>
                <w:tcPr>
                  <w:tcW w:w="900" w:type="dxa"/>
                  <w:shd w:val="clear" w:color="auto" w:fill="auto"/>
                </w:tcPr>
                <w:p w:rsidR="00871E76" w:rsidRPr="006029FB" w:rsidRDefault="00871E76" w:rsidP="009614FA">
                  <w:pPr>
                    <w:pStyle w:val="ACEBodyText"/>
                  </w:pPr>
                  <w:r>
                    <w:t>6.1</w:t>
                  </w:r>
                </w:p>
              </w:tc>
              <w:tc>
                <w:tcPr>
                  <w:tcW w:w="8100" w:type="dxa"/>
                  <w:shd w:val="clear" w:color="auto" w:fill="auto"/>
                </w:tcPr>
                <w:p w:rsidR="00871E76" w:rsidRPr="006029FB" w:rsidRDefault="00871E76" w:rsidP="009614FA">
                  <w:pPr>
                    <w:pStyle w:val="ACEBodyText"/>
                  </w:pPr>
                  <w:r w:rsidRPr="006029FB">
                    <w:t xml:space="preserve">The Committee </w:t>
                  </w:r>
                  <w:r>
                    <w:t>will report to National Council</w:t>
                  </w:r>
                  <w:r w:rsidRPr="006029FB">
                    <w:t>.</w:t>
                  </w:r>
                </w:p>
              </w:tc>
            </w:tr>
            <w:tr w:rsidR="00871E76" w:rsidRPr="006029FB" w:rsidTr="009614FA">
              <w:tc>
                <w:tcPr>
                  <w:tcW w:w="900" w:type="dxa"/>
                  <w:shd w:val="clear" w:color="auto" w:fill="auto"/>
                </w:tcPr>
                <w:p w:rsidR="00871E76" w:rsidRPr="006029FB" w:rsidRDefault="00871E76" w:rsidP="009614FA">
                  <w:pPr>
                    <w:pStyle w:val="ACEBodyText"/>
                  </w:pPr>
                </w:p>
              </w:tc>
              <w:tc>
                <w:tcPr>
                  <w:tcW w:w="8100" w:type="dxa"/>
                  <w:shd w:val="clear" w:color="auto" w:fill="auto"/>
                </w:tcPr>
                <w:p w:rsidR="00871E76" w:rsidRPr="006029FB" w:rsidRDefault="00871E76" w:rsidP="009614FA">
                  <w:pPr>
                    <w:pStyle w:val="ACEBodyText"/>
                  </w:pPr>
                </w:p>
              </w:tc>
            </w:tr>
            <w:tr w:rsidR="00871E76" w:rsidRPr="005877CD" w:rsidTr="009614FA">
              <w:tc>
                <w:tcPr>
                  <w:tcW w:w="900" w:type="dxa"/>
                  <w:shd w:val="clear" w:color="auto" w:fill="DBE5F1"/>
                </w:tcPr>
                <w:p w:rsidR="00871E76" w:rsidRPr="005877CD" w:rsidRDefault="00871E76" w:rsidP="009614FA">
                  <w:pPr>
                    <w:pStyle w:val="ACEBodyText"/>
                    <w:rPr>
                      <w:b/>
                    </w:rPr>
                  </w:pPr>
                  <w:r>
                    <w:rPr>
                      <w:b/>
                    </w:rPr>
                    <w:t>7.</w:t>
                  </w:r>
                </w:p>
              </w:tc>
              <w:tc>
                <w:tcPr>
                  <w:tcW w:w="8100" w:type="dxa"/>
                  <w:shd w:val="clear" w:color="auto" w:fill="DBE5F1"/>
                </w:tcPr>
                <w:p w:rsidR="00871E76" w:rsidRPr="005877CD" w:rsidRDefault="00871E76" w:rsidP="009614FA">
                  <w:pPr>
                    <w:pStyle w:val="ACEBodyText"/>
                    <w:rPr>
                      <w:b/>
                    </w:rPr>
                  </w:pPr>
                  <w:r w:rsidRPr="005877CD">
                    <w:rPr>
                      <w:b/>
                    </w:rPr>
                    <w:t>Membership</w:t>
                  </w:r>
                </w:p>
              </w:tc>
            </w:tr>
            <w:tr w:rsidR="00871E76" w:rsidRPr="006029FB" w:rsidTr="009614FA">
              <w:tc>
                <w:tcPr>
                  <w:tcW w:w="900" w:type="dxa"/>
                  <w:shd w:val="clear" w:color="auto" w:fill="auto"/>
                </w:tcPr>
                <w:p w:rsidR="00871E76" w:rsidRPr="006029FB" w:rsidRDefault="00871E76" w:rsidP="009614FA">
                  <w:pPr>
                    <w:pStyle w:val="ACEBodyText"/>
                  </w:pPr>
                  <w:r>
                    <w:t>7.1</w:t>
                  </w:r>
                </w:p>
              </w:tc>
              <w:tc>
                <w:tcPr>
                  <w:tcW w:w="8100" w:type="dxa"/>
                  <w:shd w:val="clear" w:color="auto" w:fill="auto"/>
                </w:tcPr>
                <w:p w:rsidR="00871E76" w:rsidRPr="006029FB" w:rsidRDefault="00871E76" w:rsidP="009614FA">
                  <w:pPr>
                    <w:pStyle w:val="ACEBodyText"/>
                  </w:pPr>
                  <w:r w:rsidRPr="006029FB">
                    <w:t xml:space="preserve">The membership of the </w:t>
                  </w:r>
                  <w:r>
                    <w:t>R</w:t>
                  </w:r>
                  <w:r w:rsidRPr="006029FB">
                    <w:t xml:space="preserve">emuneration </w:t>
                  </w:r>
                  <w:r>
                    <w:t>C</w:t>
                  </w:r>
                  <w:r w:rsidRPr="006029FB">
                    <w:t xml:space="preserve">ommittee shall be four members of the </w:t>
                  </w:r>
                  <w:r>
                    <w:t>N</w:t>
                  </w:r>
                  <w:r w:rsidRPr="006029FB">
                    <w:t xml:space="preserve">ational Council who are members of the </w:t>
                  </w:r>
                  <w:r>
                    <w:t>Performance and A</w:t>
                  </w:r>
                  <w:r w:rsidRPr="006029FB">
                    <w:t xml:space="preserve">udit </w:t>
                  </w:r>
                  <w:r>
                    <w:t>C</w:t>
                  </w:r>
                  <w:r w:rsidRPr="006029FB">
                    <w:t xml:space="preserve">ommittee plus </w:t>
                  </w:r>
                  <w:r>
                    <w:t>the Chair of the National Council</w:t>
                  </w:r>
                  <w:r w:rsidRPr="006029FB">
                    <w:t>.</w:t>
                  </w:r>
                  <w:r>
                    <w:t xml:space="preserve"> The Chair of the Performance and Audit Committee will Chair the Committee.</w:t>
                  </w:r>
                </w:p>
              </w:tc>
            </w:tr>
            <w:tr w:rsidR="00871E76" w:rsidRPr="005877CD" w:rsidTr="009614FA">
              <w:tc>
                <w:tcPr>
                  <w:tcW w:w="900" w:type="dxa"/>
                  <w:shd w:val="clear" w:color="auto" w:fill="auto"/>
                </w:tcPr>
                <w:p w:rsidR="00871E76" w:rsidRPr="005877CD" w:rsidRDefault="00871E76" w:rsidP="009614FA">
                  <w:pPr>
                    <w:pStyle w:val="ACEBodyText"/>
                    <w:rPr>
                      <w:b/>
                    </w:rPr>
                  </w:pPr>
                </w:p>
              </w:tc>
              <w:tc>
                <w:tcPr>
                  <w:tcW w:w="8100" w:type="dxa"/>
                  <w:shd w:val="clear" w:color="auto" w:fill="auto"/>
                </w:tcPr>
                <w:p w:rsidR="00871E76" w:rsidRPr="005877CD" w:rsidRDefault="00871E76" w:rsidP="009614FA">
                  <w:pPr>
                    <w:pStyle w:val="ACEBodyText"/>
                    <w:rPr>
                      <w:b/>
                    </w:rPr>
                  </w:pPr>
                </w:p>
              </w:tc>
            </w:tr>
            <w:tr w:rsidR="00871E76" w:rsidRPr="005877CD" w:rsidTr="009614FA">
              <w:tc>
                <w:tcPr>
                  <w:tcW w:w="900" w:type="dxa"/>
                  <w:shd w:val="clear" w:color="auto" w:fill="DBE5F1"/>
                </w:tcPr>
                <w:p w:rsidR="00871E76" w:rsidRPr="005877CD" w:rsidRDefault="00871E76" w:rsidP="009614FA">
                  <w:pPr>
                    <w:pStyle w:val="ACEBodyText"/>
                    <w:rPr>
                      <w:b/>
                    </w:rPr>
                  </w:pPr>
                  <w:r>
                    <w:rPr>
                      <w:b/>
                    </w:rPr>
                    <w:t>8.</w:t>
                  </w:r>
                </w:p>
              </w:tc>
              <w:tc>
                <w:tcPr>
                  <w:tcW w:w="8100" w:type="dxa"/>
                  <w:shd w:val="clear" w:color="auto" w:fill="DBE5F1"/>
                </w:tcPr>
                <w:p w:rsidR="00871E76" w:rsidRPr="005877CD" w:rsidRDefault="00871E76" w:rsidP="009614FA">
                  <w:pPr>
                    <w:pStyle w:val="ACEBodyText"/>
                    <w:rPr>
                      <w:b/>
                    </w:rPr>
                  </w:pPr>
                  <w:r w:rsidRPr="005877CD">
                    <w:rPr>
                      <w:b/>
                    </w:rPr>
                    <w:t>Quorum</w:t>
                  </w:r>
                </w:p>
              </w:tc>
            </w:tr>
            <w:tr w:rsidR="00871E76" w:rsidRPr="006029FB" w:rsidTr="009614FA">
              <w:tc>
                <w:tcPr>
                  <w:tcW w:w="900" w:type="dxa"/>
                  <w:shd w:val="clear" w:color="auto" w:fill="auto"/>
                </w:tcPr>
                <w:p w:rsidR="00871E76" w:rsidRPr="006029FB" w:rsidRDefault="00871E76" w:rsidP="009614FA">
                  <w:pPr>
                    <w:pStyle w:val="ACEBodyText"/>
                  </w:pPr>
                  <w:r>
                    <w:t>8.1</w:t>
                  </w:r>
                </w:p>
              </w:tc>
              <w:tc>
                <w:tcPr>
                  <w:tcW w:w="8100" w:type="dxa"/>
                  <w:shd w:val="clear" w:color="auto" w:fill="auto"/>
                </w:tcPr>
                <w:p w:rsidR="00871E76" w:rsidRPr="006029FB" w:rsidRDefault="00871E76" w:rsidP="009614FA">
                  <w:pPr>
                    <w:pStyle w:val="ACEBodyText"/>
                  </w:pPr>
                  <w:r w:rsidRPr="006029FB">
                    <w:t xml:space="preserve">The quorum </w:t>
                  </w:r>
                  <w:r>
                    <w:t>is 3</w:t>
                  </w:r>
                  <w:r w:rsidRPr="006029FB">
                    <w:t>.</w:t>
                  </w:r>
                </w:p>
              </w:tc>
            </w:tr>
          </w:tbl>
          <w:p w:rsidR="00871E76" w:rsidRPr="006029FB" w:rsidRDefault="00871E76" w:rsidP="009614FA">
            <w:pPr>
              <w:pStyle w:val="ACEBodyText"/>
              <w:rPr>
                <w:b/>
              </w:rPr>
            </w:pPr>
          </w:p>
        </w:tc>
      </w:tr>
      <w:tr w:rsidR="00871E76" w:rsidRPr="006029FB" w:rsidTr="009614FA">
        <w:tc>
          <w:tcPr>
            <w:tcW w:w="1238" w:type="dxa"/>
            <w:shd w:val="clear" w:color="auto" w:fill="auto"/>
          </w:tcPr>
          <w:p w:rsidR="00871E76" w:rsidRPr="006029FB" w:rsidRDefault="00871E76" w:rsidP="009614FA">
            <w:pPr>
              <w:pStyle w:val="ACEBodyText"/>
            </w:pPr>
          </w:p>
        </w:tc>
        <w:tc>
          <w:tcPr>
            <w:tcW w:w="7979" w:type="dxa"/>
            <w:shd w:val="clear" w:color="auto" w:fill="auto"/>
          </w:tcPr>
          <w:p w:rsidR="00871E76" w:rsidRPr="006029FB" w:rsidRDefault="00871E76" w:rsidP="009614FA">
            <w:pPr>
              <w:pStyle w:val="ACEBodyText"/>
            </w:pPr>
          </w:p>
        </w:tc>
      </w:tr>
    </w:tbl>
    <w:p w:rsidR="00871E76" w:rsidRDefault="00871E76" w:rsidP="00871E76"/>
    <w:p w:rsidR="003B4F6C" w:rsidRDefault="002F1AE6">
      <w:r>
        <w:t>Last revised May 2017</w:t>
      </w:r>
      <w:r w:rsidR="00BD0D84">
        <w:t xml:space="preserve">. </w:t>
      </w:r>
    </w:p>
    <w:sectPr w:rsidR="003B4F6C">
      <w:footerReference w:type="default" r:id="rId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DC" w:rsidRDefault="00B93FDC" w:rsidP="00B93FDC">
      <w:pPr>
        <w:spacing w:line="240" w:lineRule="auto"/>
      </w:pPr>
      <w:r>
        <w:separator/>
      </w:r>
    </w:p>
  </w:endnote>
  <w:endnote w:type="continuationSeparator" w:id="0">
    <w:p w:rsidR="00B93FDC" w:rsidRDefault="00B93FDC" w:rsidP="00B9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B7E" w:rsidRDefault="00953B7E" w:rsidP="006217DA">
    <w:pPr>
      <w:pStyle w:val="Footer"/>
      <w:pBdr>
        <w:top w:val="single" w:sz="4" w:space="1" w:color="auto"/>
      </w:pBdr>
      <w:jc w:val="right"/>
    </w:pPr>
    <w:r>
      <w:t xml:space="preserve">Revised </w:t>
    </w:r>
    <w:r w:rsidR="002F1AE6">
      <w:t>May 2015, last reviewed May 2017</w:t>
    </w:r>
  </w:p>
  <w:p w:rsidR="006217DA" w:rsidRPr="006217DA" w:rsidRDefault="006217DA" w:rsidP="006217DA">
    <w:pPr>
      <w:pStyle w:val="Footer"/>
      <w:pBdr>
        <w:top w:val="single" w:sz="4" w:space="1" w:color="auto"/>
      </w:pBdr>
      <w:jc w:val="right"/>
    </w:pPr>
    <w:r w:rsidRPr="006217DA">
      <w:t>Governance Handbook Section 2 (E)</w:t>
    </w:r>
  </w:p>
  <w:sdt>
    <w:sdtPr>
      <w:id w:val="-1441519257"/>
      <w:docPartObj>
        <w:docPartGallery w:val="Page Numbers (Bottom of Page)"/>
        <w:docPartUnique/>
      </w:docPartObj>
    </w:sdtPr>
    <w:sdtEndPr/>
    <w:sdtContent>
      <w:sdt>
        <w:sdtPr>
          <w:id w:val="860082579"/>
          <w:docPartObj>
            <w:docPartGallery w:val="Page Numbers (Top of Page)"/>
            <w:docPartUnique/>
          </w:docPartObj>
        </w:sdtPr>
        <w:sdtEndPr/>
        <w:sdtContent>
          <w:p w:rsidR="006217DA" w:rsidRDefault="006217DA">
            <w:pPr>
              <w:pStyle w:val="Footer"/>
              <w:jc w:val="right"/>
            </w:pPr>
            <w:r w:rsidRPr="006217DA">
              <w:t xml:space="preserve">Page </w:t>
            </w:r>
            <w:r w:rsidRPr="006217DA">
              <w:rPr>
                <w:bCs/>
              </w:rPr>
              <w:fldChar w:fldCharType="begin"/>
            </w:r>
            <w:r w:rsidRPr="006217DA">
              <w:rPr>
                <w:bCs/>
              </w:rPr>
              <w:instrText xml:space="preserve"> PAGE </w:instrText>
            </w:r>
            <w:r w:rsidRPr="006217DA">
              <w:rPr>
                <w:bCs/>
              </w:rPr>
              <w:fldChar w:fldCharType="separate"/>
            </w:r>
            <w:r w:rsidR="002F1AE6">
              <w:rPr>
                <w:bCs/>
                <w:noProof/>
              </w:rPr>
              <w:t>1</w:t>
            </w:r>
            <w:r w:rsidRPr="006217DA">
              <w:rPr>
                <w:bCs/>
              </w:rPr>
              <w:fldChar w:fldCharType="end"/>
            </w:r>
            <w:r w:rsidRPr="006217DA">
              <w:t xml:space="preserve"> of </w:t>
            </w:r>
            <w:r w:rsidRPr="006217DA">
              <w:rPr>
                <w:bCs/>
              </w:rPr>
              <w:fldChar w:fldCharType="begin"/>
            </w:r>
            <w:r w:rsidRPr="006217DA">
              <w:rPr>
                <w:bCs/>
              </w:rPr>
              <w:instrText xml:space="preserve"> NUMPAGES  </w:instrText>
            </w:r>
            <w:r w:rsidRPr="006217DA">
              <w:rPr>
                <w:bCs/>
              </w:rPr>
              <w:fldChar w:fldCharType="separate"/>
            </w:r>
            <w:r w:rsidR="002F1AE6">
              <w:rPr>
                <w:bCs/>
                <w:noProof/>
              </w:rPr>
              <w:t>2</w:t>
            </w:r>
            <w:r w:rsidRPr="006217DA">
              <w:rPr>
                <w:bCs/>
              </w:rPr>
              <w:fldChar w:fldCharType="end"/>
            </w:r>
          </w:p>
        </w:sdtContent>
      </w:sdt>
    </w:sdtContent>
  </w:sdt>
  <w:p w:rsidR="00B93FDC" w:rsidRDefault="00B9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DC" w:rsidRDefault="00B93FDC" w:rsidP="00B93FDC">
      <w:pPr>
        <w:spacing w:line="240" w:lineRule="auto"/>
      </w:pPr>
      <w:r>
        <w:separator/>
      </w:r>
    </w:p>
  </w:footnote>
  <w:footnote w:type="continuationSeparator" w:id="0">
    <w:p w:rsidR="00B93FDC" w:rsidRDefault="00B93FDC" w:rsidP="00B93F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D4C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62C79"/>
    <w:multiLevelType w:val="hybridMultilevel"/>
    <w:tmpl w:val="EC5AF044"/>
    <w:lvl w:ilvl="0" w:tplc="85823A4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5"/>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76"/>
    <w:rsid w:val="002F1AE6"/>
    <w:rsid w:val="003B4F6C"/>
    <w:rsid w:val="006217DA"/>
    <w:rsid w:val="00654009"/>
    <w:rsid w:val="006E0BEA"/>
    <w:rsid w:val="00821F71"/>
    <w:rsid w:val="00871E76"/>
    <w:rsid w:val="00926070"/>
    <w:rsid w:val="00953B7E"/>
    <w:rsid w:val="009815CB"/>
    <w:rsid w:val="00B93FDC"/>
    <w:rsid w:val="00BD0D84"/>
    <w:rsid w:val="00C30386"/>
    <w:rsid w:val="00F7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EB7C03"/>
  <w15:docId w15:val="{14C540B1-9289-476D-B2A9-3750B74C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1E76"/>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871E76"/>
    <w:pPr>
      <w:ind w:left="720"/>
      <w:contextualSpacing/>
    </w:pPr>
  </w:style>
  <w:style w:type="character" w:customStyle="1" w:styleId="FooterChar">
    <w:name w:val="Footer Char"/>
    <w:basedOn w:val="DefaultParagraphFont"/>
    <w:link w:val="Footer"/>
    <w:uiPriority w:val="99"/>
    <w:rsid w:val="00B93FDC"/>
    <w:rPr>
      <w:rFonts w:ascii="Arial" w:hAnsi="Arial" w:cs="Arial"/>
      <w:sz w:val="24"/>
      <w:szCs w:val="24"/>
      <w:lang w:eastAsia="zh-CN"/>
    </w:rPr>
  </w:style>
  <w:style w:type="paragraph" w:styleId="ListBullet">
    <w:name w:val="List Bullet"/>
    <w:basedOn w:val="Normal"/>
    <w:uiPriority w:val="99"/>
    <w:unhideWhenUsed/>
    <w:rsid w:val="00953B7E"/>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David Bryant</cp:lastModifiedBy>
  <cp:revision>6</cp:revision>
  <cp:lastPrinted>2015-12-23T12:49:00Z</cp:lastPrinted>
  <dcterms:created xsi:type="dcterms:W3CDTF">2015-12-23T12:51:00Z</dcterms:created>
  <dcterms:modified xsi:type="dcterms:W3CDTF">2017-10-20T09:25:00Z</dcterms:modified>
</cp:coreProperties>
</file>